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Hlk140143025"/>
    </w:p>
    <w:p>
      <w:pPr>
        <w:jc w:val="center"/>
        <w:rPr>
          <w:rFonts w:eastAsia="方正小标宋简体"/>
          <w:sz w:val="84"/>
          <w:szCs w:val="84"/>
        </w:rPr>
      </w:pPr>
      <w:r>
        <w:rPr>
          <w:rFonts w:hint="eastAsia" w:eastAsia="方正小标宋简体"/>
          <w:sz w:val="84"/>
          <w:szCs w:val="84"/>
        </w:rPr>
        <w:t>公开招标文件</w:t>
      </w:r>
    </w:p>
    <w:p>
      <w:pPr>
        <w:jc w:val="center"/>
        <w:rPr>
          <w:rFonts w:eastAsia="华文中宋"/>
          <w:sz w:val="40"/>
          <w:szCs w:val="40"/>
        </w:rPr>
      </w:pPr>
    </w:p>
    <w:p>
      <w:pPr>
        <w:jc w:val="center"/>
        <w:rPr>
          <w:sz w:val="52"/>
          <w:szCs w:val="52"/>
        </w:rPr>
      </w:pPr>
    </w:p>
    <w:p>
      <w:pPr>
        <w:pStyle w:val="20"/>
        <w:rPr>
          <w:kern w:val="2"/>
        </w:rPr>
      </w:pPr>
    </w:p>
    <w:p>
      <w:pPr>
        <w:spacing w:line="360" w:lineRule="auto"/>
        <w:ind w:left="1800" w:leftChars="450" w:hanging="720" w:hangingChars="200"/>
        <w:rPr>
          <w:rFonts w:hint="eastAsia" w:ascii="宋体" w:hAnsi="宋体"/>
          <w:sz w:val="36"/>
          <w:szCs w:val="36"/>
          <w:u w:val="single"/>
          <w:lang w:eastAsia="zh-CN"/>
        </w:rPr>
      </w:pPr>
      <w:r>
        <w:rPr>
          <w:rFonts w:hint="eastAsia" w:ascii="宋体" w:hAnsi="宋体"/>
          <w:sz w:val="36"/>
          <w:szCs w:val="36"/>
        </w:rPr>
        <w:t>项目名称：</w:t>
      </w:r>
      <w:r>
        <w:rPr>
          <w:rFonts w:hint="eastAsia" w:ascii="宋体" w:hAnsi="宋体"/>
          <w:sz w:val="36"/>
          <w:szCs w:val="36"/>
          <w:u w:val="single"/>
          <w:lang w:eastAsia="zh-CN"/>
        </w:rPr>
        <w:t>2024年某医院下半年医疗设备</w:t>
      </w:r>
    </w:p>
    <w:p>
      <w:pPr>
        <w:spacing w:line="360" w:lineRule="auto"/>
        <w:ind w:left="1800" w:leftChars="750" w:firstLine="1080" w:firstLineChars="300"/>
        <w:rPr>
          <w:rFonts w:hint="default" w:ascii="宋体" w:hAnsi="宋体"/>
          <w:sz w:val="36"/>
          <w:szCs w:val="36"/>
          <w:u w:val="single"/>
          <w:lang w:val="en-US" w:eastAsia="zh-CN"/>
        </w:rPr>
      </w:pPr>
      <w:r>
        <w:rPr>
          <w:rFonts w:hint="eastAsia" w:ascii="宋体" w:hAnsi="宋体"/>
          <w:sz w:val="36"/>
          <w:szCs w:val="36"/>
          <w:u w:val="single"/>
          <w:lang w:eastAsia="zh-CN"/>
        </w:rPr>
        <w:t>采购项目（</w:t>
      </w:r>
      <w:r>
        <w:rPr>
          <w:rFonts w:hint="eastAsia" w:ascii="宋体" w:hAnsi="宋体"/>
          <w:sz w:val="36"/>
          <w:szCs w:val="36"/>
          <w:u w:val="single"/>
          <w:lang w:val="en-US" w:eastAsia="zh-CN"/>
        </w:rPr>
        <w:t>10包</w:t>
      </w:r>
      <w:r>
        <w:rPr>
          <w:rFonts w:hint="eastAsia" w:ascii="宋体" w:hAnsi="宋体"/>
          <w:sz w:val="36"/>
          <w:szCs w:val="36"/>
          <w:u w:val="single"/>
          <w:lang w:eastAsia="zh-CN"/>
        </w:rPr>
        <w:t>）（</w:t>
      </w:r>
      <w:r>
        <w:rPr>
          <w:rFonts w:hint="eastAsia" w:ascii="宋体" w:hAnsi="宋体"/>
          <w:sz w:val="36"/>
          <w:szCs w:val="36"/>
          <w:u w:val="single"/>
          <w:lang w:val="en-US" w:eastAsia="zh-CN"/>
        </w:rPr>
        <w:t>二次</w:t>
      </w:r>
      <w:r>
        <w:rPr>
          <w:rFonts w:hint="eastAsia" w:ascii="宋体" w:hAnsi="宋体"/>
          <w:sz w:val="36"/>
          <w:szCs w:val="36"/>
          <w:u w:val="single"/>
          <w:lang w:eastAsia="zh-CN"/>
        </w:rPr>
        <w:t>）</w:t>
      </w:r>
    </w:p>
    <w:p>
      <w:pPr>
        <w:pStyle w:val="2"/>
        <w:rPr>
          <w:rFonts w:hint="default"/>
          <w:lang w:val="en-US" w:eastAsia="zh-CN"/>
        </w:rPr>
      </w:pPr>
    </w:p>
    <w:p>
      <w:pPr>
        <w:spacing w:line="360" w:lineRule="auto"/>
        <w:ind w:firstLine="1080" w:firstLineChars="300"/>
        <w:rPr>
          <w:rFonts w:hint="default" w:ascii="宋体" w:hAnsi="宋体"/>
          <w:sz w:val="36"/>
          <w:szCs w:val="36"/>
          <w:highlight w:val="none"/>
          <w:u w:val="single"/>
          <w:lang w:val="en-US" w:eastAsia="zh-CN"/>
        </w:rPr>
      </w:pPr>
      <w:r>
        <w:rPr>
          <w:rFonts w:hint="eastAsia" w:ascii="宋体" w:hAnsi="宋体"/>
          <w:sz w:val="36"/>
          <w:szCs w:val="36"/>
          <w:highlight w:val="none"/>
          <w:u w:val="none"/>
          <w:lang w:eastAsia="zh-CN"/>
        </w:rPr>
        <w:t>项目编号：</w:t>
      </w:r>
      <w:r>
        <w:rPr>
          <w:rFonts w:hint="eastAsia" w:ascii="宋体" w:hAnsi="宋体"/>
          <w:sz w:val="36"/>
          <w:szCs w:val="36"/>
          <w:highlight w:val="none"/>
          <w:u w:val="single"/>
          <w:lang w:val="en-US" w:eastAsia="zh-CN"/>
        </w:rPr>
        <w:t>2024-JLJAAA-W3026</w:t>
      </w:r>
    </w:p>
    <w:p>
      <w:pPr>
        <w:spacing w:line="360" w:lineRule="auto"/>
        <w:jc w:val="center"/>
        <w:rPr>
          <w:rFonts w:hint="eastAsia" w:eastAsia="华文中宋"/>
          <w:sz w:val="36"/>
          <w:szCs w:val="36"/>
        </w:rPr>
      </w:pPr>
    </w:p>
    <w:p>
      <w:pPr>
        <w:spacing w:line="360" w:lineRule="auto"/>
        <w:ind w:firstLine="1080" w:firstLineChars="300"/>
        <w:jc w:val="both"/>
        <w:rPr>
          <w:rFonts w:hint="eastAsia" w:ascii="宋体" w:hAnsi="宋体"/>
          <w:sz w:val="36"/>
          <w:szCs w:val="36"/>
          <w:lang w:eastAsia="zh-CN"/>
        </w:rPr>
      </w:pPr>
      <w:r>
        <w:rPr>
          <w:rFonts w:hint="eastAsia" w:ascii="宋体" w:hAnsi="宋体"/>
          <w:sz w:val="36"/>
          <w:szCs w:val="36"/>
        </w:rPr>
        <w:t>采购机构：</w:t>
      </w:r>
      <w:r>
        <w:rPr>
          <w:rFonts w:hint="eastAsia" w:ascii="宋体" w:hAnsi="宋体"/>
          <w:sz w:val="36"/>
          <w:szCs w:val="36"/>
          <w:lang w:eastAsia="zh-CN"/>
        </w:rPr>
        <w:t>新疆新建联项目管理咨询有限公司</w:t>
      </w:r>
    </w:p>
    <w:p>
      <w:pPr>
        <w:pStyle w:val="2"/>
        <w:rPr>
          <w:rFonts w:hint="eastAsia"/>
          <w:lang w:eastAsia="zh-CN"/>
        </w:rPr>
      </w:pPr>
    </w:p>
    <w:p>
      <w:pPr>
        <w:spacing w:line="360" w:lineRule="auto"/>
        <w:ind w:firstLine="360" w:firstLineChars="100"/>
        <w:jc w:val="center"/>
        <w:rPr>
          <w:rFonts w:hint="eastAsia" w:ascii="宋体" w:hAnsi="宋体"/>
          <w:sz w:val="36"/>
          <w:szCs w:val="36"/>
          <w:lang w:val="en-US" w:eastAsia="zh-CN"/>
        </w:rPr>
      </w:pPr>
      <w:r>
        <w:rPr>
          <w:rFonts w:hint="eastAsia" w:ascii="宋体" w:hAnsi="宋体"/>
          <w:sz w:val="36"/>
          <w:szCs w:val="36"/>
        </w:rPr>
        <w:t>采购单位：某医院</w:t>
      </w:r>
    </w:p>
    <w:p>
      <w:pPr>
        <w:spacing w:line="360" w:lineRule="auto"/>
        <w:jc w:val="center"/>
        <w:rPr>
          <w:bCs/>
          <w:spacing w:val="-26"/>
          <w:sz w:val="36"/>
          <w:szCs w:val="36"/>
        </w:rPr>
      </w:pPr>
    </w:p>
    <w:p>
      <w:pPr>
        <w:spacing w:line="360" w:lineRule="auto"/>
        <w:jc w:val="center"/>
        <w:rPr>
          <w:kern w:val="2"/>
          <w:sz w:val="21"/>
          <w:highlight w:val="none"/>
        </w:rPr>
      </w:pPr>
      <w:r>
        <w:rPr>
          <w:rFonts w:hint="eastAsia" w:ascii="宋体" w:hAnsi="宋体"/>
          <w:sz w:val="36"/>
          <w:szCs w:val="36"/>
          <w:highlight w:val="none"/>
        </w:rPr>
        <w:t>202</w:t>
      </w:r>
      <w:r>
        <w:rPr>
          <w:rFonts w:hint="eastAsia" w:ascii="宋体" w:hAnsi="宋体"/>
          <w:sz w:val="36"/>
          <w:szCs w:val="36"/>
          <w:highlight w:val="none"/>
          <w:lang w:val="en-US" w:eastAsia="zh-CN"/>
        </w:rPr>
        <w:t>5</w:t>
      </w:r>
      <w:r>
        <w:rPr>
          <w:rFonts w:hint="eastAsia" w:ascii="宋体" w:hAnsi="宋体"/>
          <w:sz w:val="36"/>
          <w:szCs w:val="36"/>
          <w:highlight w:val="none"/>
        </w:rPr>
        <w:t>年</w:t>
      </w:r>
      <w:r>
        <w:rPr>
          <w:rFonts w:hint="eastAsia" w:ascii="宋体" w:hAnsi="宋体"/>
          <w:sz w:val="36"/>
          <w:szCs w:val="36"/>
          <w:highlight w:val="none"/>
          <w:lang w:val="en-US" w:eastAsia="zh-CN"/>
        </w:rPr>
        <w:t>2</w:t>
      </w:r>
      <w:r>
        <w:rPr>
          <w:rFonts w:hint="eastAsia" w:ascii="宋体" w:hAnsi="宋体"/>
          <w:sz w:val="36"/>
          <w:szCs w:val="36"/>
          <w:highlight w:val="none"/>
        </w:rPr>
        <w:t>月</w:t>
      </w:r>
    </w:p>
    <w:p>
      <w:pPr>
        <w:pStyle w:val="20"/>
      </w:pPr>
    </w:p>
    <w:p>
      <w:pPr>
        <w:widowControl/>
        <w:jc w:val="left"/>
      </w:pPr>
      <w:r>
        <w:br w:type="page"/>
      </w:r>
    </w:p>
    <w:p/>
    <w:p>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w:t>
      </w:r>
      <w:r>
        <w:rPr>
          <w:rFonts w:hint="eastAsia" w:ascii="方正小标宋简体" w:eastAsia="方正小标宋简体"/>
          <w:sz w:val="48"/>
          <w:szCs w:val="48"/>
          <w:lang w:val="en-US" w:eastAsia="zh-CN"/>
        </w:rPr>
        <w:t>项目</w:t>
      </w:r>
      <w:r>
        <w:rPr>
          <w:rFonts w:hint="eastAsia" w:ascii="方正小标宋简体" w:eastAsia="方正小标宋简体"/>
          <w:sz w:val="48"/>
          <w:szCs w:val="48"/>
        </w:rPr>
        <w:t>公开招标文件（2.0版）</w:t>
      </w:r>
    </w:p>
    <w:p>
      <w:pPr>
        <w:pStyle w:val="5"/>
        <w:ind w:firstLine="2530" w:firstLineChars="300"/>
        <w:rPr>
          <w:rFonts w:hint="eastAsia" w:ascii="方正小标宋简体" w:eastAsia="方正小标宋简体"/>
          <w:sz w:val="84"/>
          <w:szCs w:val="84"/>
        </w:rPr>
      </w:pPr>
      <w:bookmarkStart w:id="1" w:name="_Toc132190594"/>
      <w:bookmarkStart w:id="2" w:name="_Toc128150016"/>
      <w:bookmarkStart w:id="3" w:name="_Toc130887460"/>
      <w:bookmarkStart w:id="4" w:name="_Toc128397940"/>
      <w:r>
        <w:rPr>
          <w:rFonts w:hint="eastAsia" w:ascii="方正小标宋简体" w:eastAsia="方正小标宋简体"/>
          <w:sz w:val="84"/>
          <w:szCs w:val="84"/>
        </w:rPr>
        <w:t>通用文件</w:t>
      </w:r>
      <w:bookmarkEnd w:id="1"/>
      <w:bookmarkEnd w:id="2"/>
      <w:bookmarkEnd w:id="3"/>
      <w:bookmarkEnd w:id="4"/>
    </w:p>
    <w:p>
      <w:pPr>
        <w:pStyle w:val="20"/>
        <w:jc w:val="center"/>
        <w:rPr>
          <w:rFonts w:hint="eastAsia" w:ascii="方正小标宋简体" w:eastAsia="方正小标宋简体"/>
          <w:sz w:val="48"/>
          <w:szCs w:val="48"/>
        </w:rPr>
      </w:pPr>
      <w:r>
        <w:rPr>
          <w:rFonts w:hint="eastAsia" w:ascii="方正小标宋简体" w:eastAsia="方正小标宋简体"/>
          <w:sz w:val="48"/>
          <w:szCs w:val="48"/>
        </w:rPr>
        <w:t>（试行）</w:t>
      </w:r>
    </w:p>
    <w:p>
      <w:pPr>
        <w:rPr>
          <w:rFonts w:hint="eastAsia"/>
          <w:sz w:val="21"/>
        </w:rPr>
      </w:pPr>
    </w:p>
    <w:p>
      <w:pPr>
        <w:pStyle w:val="20"/>
      </w:pPr>
    </w:p>
    <w:p/>
    <w:p>
      <w:pPr>
        <w:pStyle w:val="20"/>
      </w:pPr>
    </w:p>
    <w:p/>
    <w:p>
      <w:pPr>
        <w:pStyle w:val="20"/>
      </w:pPr>
    </w:p>
    <w:p/>
    <w:p>
      <w:pPr>
        <w:pStyle w:val="20"/>
      </w:pPr>
    </w:p>
    <w:p/>
    <w:p>
      <w:pPr>
        <w:pStyle w:val="20"/>
      </w:pPr>
    </w:p>
    <w:p/>
    <w:p>
      <w:pPr>
        <w:pStyle w:val="24"/>
        <w:adjustRightInd w:val="0"/>
        <w:snapToGrid w:val="0"/>
        <w:spacing w:line="560" w:lineRule="exact"/>
        <w:jc w:val="center"/>
        <w:rPr>
          <w:rFonts w:hint="eastAsia" w:ascii="黑体" w:hAnsi="黑体" w:eastAsia="黑体" w:cs="黑体"/>
          <w:bCs/>
          <w:sz w:val="44"/>
          <w:szCs w:val="44"/>
        </w:rPr>
      </w:pPr>
    </w:p>
    <w:p>
      <w:pPr>
        <w:pStyle w:val="24"/>
        <w:adjustRightInd w:val="0"/>
        <w:snapToGrid w:val="0"/>
        <w:spacing w:line="560" w:lineRule="exact"/>
        <w:jc w:val="center"/>
        <w:rPr>
          <w:rFonts w:hint="eastAsia" w:ascii="黑体" w:hAnsi="黑体" w:eastAsia="黑体" w:cs="黑体"/>
          <w:bCs/>
          <w:sz w:val="44"/>
          <w:szCs w:val="44"/>
        </w:rPr>
      </w:pPr>
    </w:p>
    <w:p>
      <w:pPr>
        <w:pStyle w:val="24"/>
        <w:adjustRightInd w:val="0"/>
        <w:snapToGrid w:val="0"/>
        <w:spacing w:line="560" w:lineRule="exact"/>
        <w:jc w:val="center"/>
        <w:rPr>
          <w:rFonts w:hint="eastAsia" w:ascii="黑体" w:hAnsi="黑体" w:eastAsia="黑体" w:cs="黑体"/>
          <w:bCs/>
          <w:sz w:val="44"/>
          <w:szCs w:val="44"/>
        </w:rPr>
      </w:pPr>
    </w:p>
    <w:p>
      <w:pPr>
        <w:pStyle w:val="24"/>
        <w:adjustRightInd w:val="0"/>
        <w:snapToGrid w:val="0"/>
        <w:spacing w:line="560" w:lineRule="exact"/>
        <w:jc w:val="center"/>
        <w:rPr>
          <w:rFonts w:hint="eastAsia" w:ascii="黑体" w:hAnsi="黑体" w:eastAsia="黑体" w:cs="黑体"/>
          <w:bCs/>
          <w:sz w:val="44"/>
          <w:szCs w:val="44"/>
        </w:rPr>
      </w:pPr>
    </w:p>
    <w:p>
      <w:pPr>
        <w:pStyle w:val="24"/>
        <w:adjustRightInd w:val="0"/>
        <w:snapToGrid w:val="0"/>
        <w:spacing w:line="560" w:lineRule="exact"/>
        <w:jc w:val="center"/>
        <w:rPr>
          <w:rFonts w:hint="eastAsia" w:ascii="黑体" w:hAnsi="黑体" w:eastAsia="黑体" w:cs="黑体"/>
          <w:bCs/>
          <w:sz w:val="44"/>
          <w:szCs w:val="44"/>
        </w:rPr>
      </w:pPr>
    </w:p>
    <w:p>
      <w:pPr>
        <w:pStyle w:val="24"/>
        <w:adjustRightInd w:val="0"/>
        <w:snapToGrid w:val="0"/>
        <w:spacing w:line="560" w:lineRule="exact"/>
        <w:jc w:val="center"/>
        <w:rPr>
          <w:rFonts w:hint="eastAsia" w:ascii="黑体" w:hAnsi="黑体" w:eastAsia="黑体" w:cs="黑体"/>
          <w:bCs/>
          <w:sz w:val="44"/>
          <w:szCs w:val="44"/>
        </w:rPr>
      </w:pPr>
    </w:p>
    <w:p>
      <w:pPr>
        <w:pStyle w:val="24"/>
        <w:adjustRightInd w:val="0"/>
        <w:snapToGrid w:val="0"/>
        <w:spacing w:line="560" w:lineRule="exact"/>
        <w:jc w:val="center"/>
        <w:rPr>
          <w:rFonts w:hint="eastAsia" w:ascii="黑体" w:hAnsi="黑体" w:eastAsia="黑体" w:cs="黑体"/>
          <w:bCs/>
          <w:sz w:val="44"/>
          <w:szCs w:val="44"/>
        </w:rPr>
      </w:pPr>
    </w:p>
    <w:p>
      <w:pPr>
        <w:pStyle w:val="24"/>
        <w:adjustRightInd w:val="0"/>
        <w:snapToGrid w:val="0"/>
        <w:spacing w:line="560" w:lineRule="exact"/>
        <w:jc w:val="center"/>
        <w:rPr>
          <w:rFonts w:hint="eastAsia" w:hAnsi="宋体" w:cstheme="minorBidi"/>
          <w:b/>
          <w:sz w:val="28"/>
          <w:szCs w:val="28"/>
        </w:rPr>
      </w:pPr>
      <w:r>
        <w:rPr>
          <w:rFonts w:hint="eastAsia" w:ascii="黑体" w:hAnsi="黑体" w:eastAsia="黑体" w:cs="黑体"/>
          <w:bCs/>
          <w:sz w:val="44"/>
          <w:szCs w:val="44"/>
        </w:rPr>
        <w:t>目   录</w:t>
      </w:r>
      <w:r>
        <w:rPr>
          <w:rFonts w:hint="eastAsia"/>
        </w:rPr>
        <w:fldChar w:fldCharType="begin"/>
      </w:r>
      <w:r>
        <w:rPr>
          <w:rFonts w:hint="eastAsia" w:hAnsi="宋体" w:cs="宋体"/>
          <w:bCs/>
          <w:sz w:val="28"/>
          <w:szCs w:val="28"/>
        </w:rPr>
        <w:instrText xml:space="preserve"> TOC \o "1-3" \h \z \u </w:instrText>
      </w:r>
      <w:r>
        <w:fldChar w:fldCharType="separate"/>
      </w:r>
    </w:p>
    <w:p>
      <w:pPr>
        <w:pStyle w:val="36"/>
        <w:tabs>
          <w:tab w:val="right" w:leader="dot" w:pos="9344"/>
        </w:tabs>
        <w:ind w:left="480"/>
        <w:rPr>
          <w:rFonts w:hint="eastAsia" w:ascii="宋体" w:hAnsi="宋体" w:cstheme="minorBidi"/>
          <w:b/>
          <w:sz w:val="28"/>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"_Toc132190595" </w:instrText>
      </w:r>
      <w:r>
        <w:fldChar w:fldCharType="separate"/>
      </w:r>
      <w:r>
        <w:rPr>
          <w:rStyle w:val="50"/>
          <w:rFonts w:hint="eastAsia" w:ascii="宋体" w:hAnsi="宋体"/>
          <w:szCs w:val="28"/>
          <w:lang w:val="zh-CN"/>
        </w:rPr>
        <w:t>第一章 投标供应商</w:t>
      </w:r>
      <w:r>
        <w:rPr>
          <w:rStyle w:val="50"/>
          <w:rFonts w:hint="eastAsia" w:ascii="宋体" w:hAnsi="宋体"/>
          <w:szCs w:val="28"/>
        </w:rPr>
        <w:t>须知</w:t>
      </w:r>
      <w:r>
        <w:rPr>
          <w:rStyle w:val="50"/>
          <w:rFonts w:hint="eastAsia" w:ascii="宋体" w:hAnsi="宋体"/>
          <w:szCs w:val="28"/>
        </w:rPr>
        <w:tab/>
      </w:r>
      <w:r>
        <w:rPr>
          <w:rStyle w:val="50"/>
        </w:rPr>
        <w:fldChar w:fldCharType="begin"/>
      </w:r>
      <w:r>
        <w:rPr>
          <w:rStyle w:val="50"/>
          <w:rFonts w:hint="eastAsia" w:ascii="宋体" w:hAnsi="宋体"/>
          <w:szCs w:val="28"/>
        </w:rPr>
        <w:instrText xml:space="preserve"> PAGEREF _Toc132190595 \h </w:instrText>
      </w:r>
      <w:r>
        <w:rPr>
          <w:rStyle w:val="50"/>
        </w:rPr>
        <w:fldChar w:fldCharType="separate"/>
      </w:r>
      <w:r>
        <w:rPr>
          <w:rStyle w:val="50"/>
          <w:rFonts w:hint="eastAsia" w:ascii="宋体" w:hAnsi="宋体"/>
          <w:szCs w:val="28"/>
        </w:rPr>
        <w:t>1</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"_Toc132190596" </w:instrText>
      </w:r>
      <w:r>
        <w:fldChar w:fldCharType="separate"/>
      </w:r>
      <w:r>
        <w:rPr>
          <w:rStyle w:val="50"/>
          <w:rFonts w:hint="eastAsia"/>
          <w:szCs w:val="28"/>
        </w:rPr>
        <w:t>一、说  明</w:t>
      </w:r>
      <w:r>
        <w:rPr>
          <w:rStyle w:val="50"/>
          <w:rFonts w:hint="eastAsia"/>
          <w:szCs w:val="28"/>
        </w:rPr>
        <w:tab/>
      </w:r>
      <w:r>
        <w:rPr>
          <w:rStyle w:val="50"/>
        </w:rPr>
        <w:fldChar w:fldCharType="begin"/>
      </w:r>
      <w:r>
        <w:rPr>
          <w:rStyle w:val="50"/>
          <w:rFonts w:hint="eastAsia"/>
          <w:szCs w:val="28"/>
        </w:rPr>
        <w:instrText xml:space="preserve"> PAGEREF _Toc132190596 \h </w:instrText>
      </w:r>
      <w:r>
        <w:rPr>
          <w:rStyle w:val="50"/>
        </w:rPr>
        <w:fldChar w:fldCharType="separate"/>
      </w:r>
      <w:r>
        <w:rPr>
          <w:rStyle w:val="50"/>
          <w:rFonts w:hint="eastAsia"/>
          <w:szCs w:val="28"/>
        </w:rPr>
        <w:t>1</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"_Toc132190597" </w:instrText>
      </w:r>
      <w:r>
        <w:fldChar w:fldCharType="separate"/>
      </w:r>
      <w:r>
        <w:rPr>
          <w:rStyle w:val="50"/>
          <w:rFonts w:hint="eastAsia"/>
          <w:szCs w:val="28"/>
        </w:rPr>
        <w:t>二、招标文件的内容及澄清与修改</w:t>
      </w:r>
      <w:r>
        <w:rPr>
          <w:rStyle w:val="50"/>
          <w:rFonts w:hint="eastAsia"/>
          <w:szCs w:val="28"/>
        </w:rPr>
        <w:tab/>
      </w:r>
      <w:r>
        <w:rPr>
          <w:rStyle w:val="50"/>
        </w:rPr>
        <w:fldChar w:fldCharType="begin"/>
      </w:r>
      <w:r>
        <w:rPr>
          <w:rStyle w:val="50"/>
          <w:rFonts w:hint="eastAsia"/>
          <w:szCs w:val="28"/>
        </w:rPr>
        <w:instrText xml:space="preserve"> PAGEREF _Toc132190597 \h </w:instrText>
      </w:r>
      <w:r>
        <w:rPr>
          <w:rStyle w:val="50"/>
        </w:rPr>
        <w:fldChar w:fldCharType="separate"/>
      </w:r>
      <w:r>
        <w:rPr>
          <w:rStyle w:val="50"/>
          <w:rFonts w:hint="eastAsia"/>
          <w:szCs w:val="28"/>
        </w:rPr>
        <w:t>3</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"_Toc132190598" </w:instrText>
      </w:r>
      <w:r>
        <w:fldChar w:fldCharType="separate"/>
      </w:r>
      <w:r>
        <w:rPr>
          <w:rStyle w:val="50"/>
          <w:rFonts w:hint="eastAsia"/>
          <w:szCs w:val="28"/>
        </w:rPr>
        <w:t>三、投标文件的基本要求</w:t>
      </w:r>
      <w:r>
        <w:rPr>
          <w:rStyle w:val="50"/>
          <w:rFonts w:hint="eastAsia"/>
          <w:szCs w:val="28"/>
        </w:rPr>
        <w:tab/>
      </w:r>
      <w:r>
        <w:rPr>
          <w:rStyle w:val="50"/>
        </w:rPr>
        <w:fldChar w:fldCharType="begin"/>
      </w:r>
      <w:r>
        <w:rPr>
          <w:rStyle w:val="50"/>
          <w:rFonts w:hint="eastAsia"/>
          <w:szCs w:val="28"/>
        </w:rPr>
        <w:instrText xml:space="preserve"> PAGEREF _Toc132190598 \h </w:instrText>
      </w:r>
      <w:r>
        <w:rPr>
          <w:rStyle w:val="50"/>
        </w:rPr>
        <w:fldChar w:fldCharType="separate"/>
      </w:r>
      <w:r>
        <w:rPr>
          <w:rStyle w:val="50"/>
          <w:rFonts w:hint="eastAsia"/>
          <w:szCs w:val="28"/>
        </w:rPr>
        <w:t>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"_Toc132190599" </w:instrText>
      </w:r>
      <w:r>
        <w:fldChar w:fldCharType="separate"/>
      </w:r>
      <w:r>
        <w:rPr>
          <w:rStyle w:val="50"/>
          <w:rFonts w:hint="eastAsia"/>
          <w:szCs w:val="28"/>
        </w:rPr>
        <w:t>四、投标文件提交</w:t>
      </w:r>
      <w:r>
        <w:rPr>
          <w:rStyle w:val="50"/>
          <w:rFonts w:hint="eastAsia"/>
          <w:szCs w:val="28"/>
        </w:rPr>
        <w:tab/>
      </w:r>
      <w:r>
        <w:rPr>
          <w:rStyle w:val="50"/>
        </w:rPr>
        <w:fldChar w:fldCharType="begin"/>
      </w:r>
      <w:r>
        <w:rPr>
          <w:rStyle w:val="50"/>
          <w:rFonts w:hint="eastAsia"/>
          <w:szCs w:val="28"/>
        </w:rPr>
        <w:instrText xml:space="preserve"> PAGEREF _Toc132190599 \h </w:instrText>
      </w:r>
      <w:r>
        <w:rPr>
          <w:rStyle w:val="50"/>
        </w:rPr>
        <w:fldChar w:fldCharType="separate"/>
      </w:r>
      <w:r>
        <w:rPr>
          <w:rStyle w:val="50"/>
          <w:rFonts w:hint="eastAsia"/>
          <w:szCs w:val="28"/>
        </w:rPr>
        <w:t>7</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"_Toc132190600" </w:instrText>
      </w:r>
      <w:r>
        <w:fldChar w:fldCharType="separate"/>
      </w:r>
      <w:r>
        <w:rPr>
          <w:rStyle w:val="50"/>
          <w:rFonts w:hint="eastAsia"/>
          <w:szCs w:val="28"/>
        </w:rPr>
        <w:t>五、开标与评标</w:t>
      </w:r>
      <w:r>
        <w:rPr>
          <w:rStyle w:val="50"/>
          <w:rFonts w:hint="eastAsia"/>
          <w:szCs w:val="28"/>
        </w:rPr>
        <w:tab/>
      </w:r>
      <w:r>
        <w:rPr>
          <w:rStyle w:val="50"/>
        </w:rPr>
        <w:fldChar w:fldCharType="begin"/>
      </w:r>
      <w:r>
        <w:rPr>
          <w:rStyle w:val="50"/>
          <w:rFonts w:hint="eastAsia"/>
          <w:szCs w:val="28"/>
        </w:rPr>
        <w:instrText xml:space="preserve"> PAGEREF _Toc132190600 \h </w:instrText>
      </w:r>
      <w:r>
        <w:rPr>
          <w:rStyle w:val="50"/>
        </w:rPr>
        <w:fldChar w:fldCharType="separate"/>
      </w:r>
      <w:r>
        <w:rPr>
          <w:rStyle w:val="50"/>
          <w:rFonts w:hint="eastAsia"/>
          <w:szCs w:val="28"/>
        </w:rPr>
        <w:t>8</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"_Toc132190601" </w:instrText>
      </w:r>
      <w:r>
        <w:fldChar w:fldCharType="separate"/>
      </w:r>
      <w:r>
        <w:rPr>
          <w:rStyle w:val="50"/>
          <w:rFonts w:hint="eastAsia"/>
          <w:szCs w:val="28"/>
        </w:rPr>
        <w:t>六、定标</w:t>
      </w:r>
      <w:r>
        <w:rPr>
          <w:rStyle w:val="50"/>
          <w:rFonts w:hint="eastAsia"/>
          <w:szCs w:val="28"/>
        </w:rPr>
        <w:tab/>
      </w:r>
      <w:r>
        <w:rPr>
          <w:rStyle w:val="50"/>
        </w:rPr>
        <w:fldChar w:fldCharType="begin"/>
      </w:r>
      <w:r>
        <w:rPr>
          <w:rStyle w:val="50"/>
          <w:rFonts w:hint="eastAsia"/>
          <w:szCs w:val="28"/>
        </w:rPr>
        <w:instrText xml:space="preserve"> PAGEREF _Toc132190601 \h </w:instrText>
      </w:r>
      <w:r>
        <w:rPr>
          <w:rStyle w:val="50"/>
        </w:rPr>
        <w:fldChar w:fldCharType="separate"/>
      </w:r>
      <w:r>
        <w:rPr>
          <w:rStyle w:val="50"/>
          <w:rFonts w:hint="eastAsia"/>
          <w:szCs w:val="28"/>
        </w:rPr>
        <w:t>22</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"_Toc132190602" </w:instrText>
      </w:r>
      <w:r>
        <w:fldChar w:fldCharType="separate"/>
      </w:r>
      <w:r>
        <w:rPr>
          <w:rStyle w:val="50"/>
          <w:rFonts w:hint="eastAsia"/>
          <w:szCs w:val="28"/>
        </w:rPr>
        <w:t>七、质疑、投诉和投诉复议</w:t>
      </w:r>
      <w:r>
        <w:rPr>
          <w:rStyle w:val="50"/>
          <w:rFonts w:hint="eastAsia"/>
          <w:szCs w:val="28"/>
        </w:rPr>
        <w:tab/>
      </w:r>
      <w:r>
        <w:rPr>
          <w:rStyle w:val="50"/>
        </w:rPr>
        <w:fldChar w:fldCharType="begin"/>
      </w:r>
      <w:r>
        <w:rPr>
          <w:rStyle w:val="50"/>
          <w:rFonts w:hint="eastAsia"/>
          <w:szCs w:val="28"/>
        </w:rPr>
        <w:instrText xml:space="preserve"> PAGEREF _Toc132190602 \h </w:instrText>
      </w:r>
      <w:r>
        <w:rPr>
          <w:rStyle w:val="50"/>
        </w:rPr>
        <w:fldChar w:fldCharType="separate"/>
      </w:r>
      <w:r>
        <w:rPr>
          <w:rStyle w:val="50"/>
          <w:rFonts w:hint="eastAsia"/>
          <w:szCs w:val="28"/>
        </w:rPr>
        <w:t>23</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"_Toc132190603" </w:instrText>
      </w:r>
      <w:r>
        <w:fldChar w:fldCharType="separate"/>
      </w:r>
      <w:r>
        <w:rPr>
          <w:rStyle w:val="50"/>
          <w:rFonts w:hint="eastAsia"/>
          <w:szCs w:val="28"/>
        </w:rPr>
        <w:t>八、签订合同</w:t>
      </w:r>
      <w:r>
        <w:rPr>
          <w:rStyle w:val="50"/>
          <w:rFonts w:hint="eastAsia"/>
          <w:szCs w:val="28"/>
        </w:rPr>
        <w:tab/>
      </w:r>
      <w:r>
        <w:rPr>
          <w:rStyle w:val="50"/>
        </w:rPr>
        <w:fldChar w:fldCharType="begin"/>
      </w:r>
      <w:r>
        <w:rPr>
          <w:rStyle w:val="50"/>
          <w:rFonts w:hint="eastAsia"/>
          <w:szCs w:val="28"/>
        </w:rPr>
        <w:instrText xml:space="preserve"> PAGEREF _Toc132190603 \h </w:instrText>
      </w:r>
      <w:r>
        <w:rPr>
          <w:rStyle w:val="50"/>
        </w:rPr>
        <w:fldChar w:fldCharType="separate"/>
      </w:r>
      <w:r>
        <w:rPr>
          <w:rStyle w:val="50"/>
          <w:rFonts w:hint="eastAsia"/>
          <w:szCs w:val="28"/>
        </w:rPr>
        <w:t>26</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"_Toc132190604" </w:instrText>
      </w:r>
      <w:r>
        <w:fldChar w:fldCharType="separate"/>
      </w:r>
      <w:r>
        <w:rPr>
          <w:rStyle w:val="50"/>
          <w:rFonts w:hint="eastAsia"/>
          <w:szCs w:val="28"/>
        </w:rPr>
        <w:t>九、解释权限</w:t>
      </w:r>
      <w:r>
        <w:rPr>
          <w:rStyle w:val="50"/>
          <w:rFonts w:hint="eastAsia"/>
          <w:szCs w:val="28"/>
        </w:rPr>
        <w:tab/>
      </w:r>
      <w:r>
        <w:rPr>
          <w:rStyle w:val="50"/>
        </w:rPr>
        <w:fldChar w:fldCharType="begin"/>
      </w:r>
      <w:r>
        <w:rPr>
          <w:rStyle w:val="50"/>
          <w:rFonts w:hint="eastAsia"/>
          <w:szCs w:val="28"/>
        </w:rPr>
        <w:instrText xml:space="preserve"> PAGEREF _Toc132190604 \h </w:instrText>
      </w:r>
      <w:r>
        <w:rPr>
          <w:rStyle w:val="50"/>
        </w:rPr>
        <w:fldChar w:fldCharType="separate"/>
      </w:r>
      <w:r>
        <w:rPr>
          <w:rStyle w:val="50"/>
          <w:rFonts w:hint="eastAsia"/>
          <w:szCs w:val="28"/>
        </w:rPr>
        <w:t>26</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"_Toc132190605" </w:instrText>
      </w:r>
      <w:r>
        <w:fldChar w:fldCharType="separate"/>
      </w:r>
      <w:r>
        <w:rPr>
          <w:rStyle w:val="50"/>
          <w:rFonts w:hint="eastAsia" w:cs="黑体"/>
          <w:szCs w:val="28"/>
        </w:rPr>
        <w:t>附页1 招标文件更正确认函</w:t>
      </w:r>
      <w:r>
        <w:rPr>
          <w:rStyle w:val="50"/>
          <w:rFonts w:hint="eastAsia"/>
          <w:szCs w:val="28"/>
        </w:rPr>
        <w:tab/>
      </w:r>
      <w:r>
        <w:rPr>
          <w:rStyle w:val="50"/>
        </w:rPr>
        <w:fldChar w:fldCharType="begin"/>
      </w:r>
      <w:r>
        <w:rPr>
          <w:rStyle w:val="50"/>
          <w:rFonts w:hint="eastAsia"/>
          <w:szCs w:val="28"/>
        </w:rPr>
        <w:instrText xml:space="preserve"> PAGEREF _Toc132190605 \h </w:instrText>
      </w:r>
      <w:r>
        <w:rPr>
          <w:rStyle w:val="50"/>
        </w:rPr>
        <w:fldChar w:fldCharType="separate"/>
      </w:r>
      <w:r>
        <w:rPr>
          <w:rStyle w:val="50"/>
          <w:rFonts w:hint="eastAsia"/>
          <w:szCs w:val="28"/>
        </w:rPr>
        <w:t>27</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"_Toc132190606" </w:instrText>
      </w:r>
      <w:r>
        <w:fldChar w:fldCharType="separate"/>
      </w:r>
      <w:r>
        <w:rPr>
          <w:rStyle w:val="50"/>
          <w:rFonts w:hint="eastAsia" w:cs="黑体"/>
          <w:szCs w:val="28"/>
        </w:rPr>
        <w:t>附页2 质疑函（格式）</w:t>
      </w:r>
      <w:r>
        <w:rPr>
          <w:rStyle w:val="50"/>
          <w:rFonts w:hint="eastAsia"/>
          <w:szCs w:val="28"/>
        </w:rPr>
        <w:tab/>
      </w:r>
      <w:r>
        <w:rPr>
          <w:rStyle w:val="50"/>
        </w:rPr>
        <w:fldChar w:fldCharType="begin"/>
      </w:r>
      <w:r>
        <w:rPr>
          <w:rStyle w:val="50"/>
          <w:rFonts w:hint="eastAsia"/>
          <w:szCs w:val="28"/>
        </w:rPr>
        <w:instrText xml:space="preserve"> PAGEREF _Toc132190606 \h </w:instrText>
      </w:r>
      <w:r>
        <w:rPr>
          <w:rStyle w:val="50"/>
        </w:rPr>
        <w:fldChar w:fldCharType="separate"/>
      </w:r>
      <w:r>
        <w:rPr>
          <w:rStyle w:val="50"/>
          <w:rFonts w:hint="eastAsia"/>
          <w:szCs w:val="28"/>
        </w:rPr>
        <w:t>28</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"_Toc132190607" </w:instrText>
      </w:r>
      <w:r>
        <w:fldChar w:fldCharType="separate"/>
      </w:r>
      <w:r>
        <w:rPr>
          <w:rStyle w:val="50"/>
          <w:rFonts w:hint="eastAsia" w:cs="黑体"/>
          <w:szCs w:val="28"/>
        </w:rPr>
        <w:t>附页3 投诉书（格式）</w:t>
      </w:r>
      <w:r>
        <w:rPr>
          <w:rStyle w:val="50"/>
          <w:rFonts w:hint="eastAsia"/>
          <w:szCs w:val="28"/>
        </w:rPr>
        <w:tab/>
      </w:r>
      <w:r>
        <w:rPr>
          <w:rStyle w:val="50"/>
        </w:rPr>
        <w:fldChar w:fldCharType="begin"/>
      </w:r>
      <w:r>
        <w:rPr>
          <w:rStyle w:val="50"/>
          <w:rFonts w:hint="eastAsia"/>
          <w:szCs w:val="28"/>
        </w:rPr>
        <w:instrText xml:space="preserve"> PAGEREF _Toc132190607 \h </w:instrText>
      </w:r>
      <w:r>
        <w:rPr>
          <w:rStyle w:val="50"/>
        </w:rPr>
        <w:fldChar w:fldCharType="separate"/>
      </w:r>
      <w:r>
        <w:rPr>
          <w:rStyle w:val="50"/>
          <w:rFonts w:hint="eastAsia"/>
          <w:szCs w:val="28"/>
        </w:rPr>
        <w:t>29</w:t>
      </w:r>
      <w:r>
        <w:rPr>
          <w:rStyle w:val="50"/>
        </w:rPr>
        <w:fldChar w:fldCharType="end"/>
      </w:r>
      <w:r>
        <w:rPr>
          <w:rStyle w:val="50"/>
        </w:rPr>
        <w:fldChar w:fldCharType="end"/>
      </w:r>
    </w:p>
    <w:p>
      <w:pPr>
        <w:pStyle w:val="36"/>
        <w:tabs>
          <w:tab w:val="right" w:leader="dot" w:pos="9344"/>
        </w:tabs>
        <w:ind w:left="480"/>
        <w:rPr>
          <w:rFonts w:hint="eastAsia" w:ascii="宋体" w:hAnsi="宋体"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"_Toc132190608" </w:instrText>
      </w:r>
      <w:r>
        <w:fldChar w:fldCharType="separate"/>
      </w:r>
      <w:r>
        <w:rPr>
          <w:rStyle w:val="50"/>
          <w:rFonts w:hint="eastAsia" w:ascii="宋体" w:hAnsi="宋体"/>
          <w:szCs w:val="28"/>
          <w:lang w:val="zh-CN"/>
        </w:rPr>
        <w:t>第二章 合同通用条款</w:t>
      </w:r>
      <w:r>
        <w:rPr>
          <w:rStyle w:val="50"/>
          <w:rFonts w:hint="eastAsia" w:ascii="宋体" w:hAnsi="宋体"/>
          <w:szCs w:val="28"/>
        </w:rPr>
        <w:tab/>
      </w:r>
      <w:r>
        <w:rPr>
          <w:rStyle w:val="50"/>
        </w:rPr>
        <w:fldChar w:fldCharType="begin"/>
      </w:r>
      <w:r>
        <w:rPr>
          <w:rStyle w:val="50"/>
          <w:rFonts w:hint="eastAsia" w:ascii="宋体" w:hAnsi="宋体"/>
          <w:szCs w:val="28"/>
        </w:rPr>
        <w:instrText xml:space="preserve"> PAGEREF _Toc132190608 \h </w:instrText>
      </w:r>
      <w:r>
        <w:rPr>
          <w:rStyle w:val="50"/>
        </w:rPr>
        <w:fldChar w:fldCharType="separate"/>
      </w:r>
      <w:r>
        <w:rPr>
          <w:rStyle w:val="50"/>
          <w:rFonts w:hint="eastAsia" w:ascii="宋体" w:hAnsi="宋体"/>
          <w:szCs w:val="28"/>
        </w:rPr>
        <w:t>30</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"_Toc132190609" </w:instrText>
      </w:r>
      <w:r>
        <w:fldChar w:fldCharType="separate"/>
      </w:r>
      <w:r>
        <w:rPr>
          <w:rStyle w:val="50"/>
          <w:rFonts w:hint="eastAsia" w:cs="黑体"/>
          <w:szCs w:val="28"/>
        </w:rPr>
        <w:t>一、定义</w:t>
      </w:r>
      <w:r>
        <w:rPr>
          <w:rStyle w:val="50"/>
          <w:rFonts w:hint="eastAsia"/>
          <w:szCs w:val="28"/>
        </w:rPr>
        <w:tab/>
      </w:r>
      <w:r>
        <w:rPr>
          <w:rStyle w:val="50"/>
        </w:rPr>
        <w:fldChar w:fldCharType="begin"/>
      </w:r>
      <w:r>
        <w:rPr>
          <w:rStyle w:val="50"/>
          <w:rFonts w:hint="eastAsia"/>
          <w:szCs w:val="28"/>
        </w:rPr>
        <w:instrText xml:space="preserve"> PAGEREF _Toc132190609 \h </w:instrText>
      </w:r>
      <w:r>
        <w:rPr>
          <w:rStyle w:val="50"/>
        </w:rPr>
        <w:fldChar w:fldCharType="separate"/>
      </w:r>
      <w:r>
        <w:rPr>
          <w:rStyle w:val="50"/>
          <w:rFonts w:hint="eastAsia"/>
          <w:szCs w:val="28"/>
        </w:rPr>
        <w:t>30</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"_Toc132190610" </w:instrText>
      </w:r>
      <w:r>
        <w:fldChar w:fldCharType="separate"/>
      </w:r>
      <w:r>
        <w:rPr>
          <w:rStyle w:val="50"/>
          <w:rFonts w:hint="eastAsia" w:cs="黑体"/>
          <w:szCs w:val="28"/>
        </w:rPr>
        <w:t>二、物资编目编码、打码贴签要求</w:t>
      </w:r>
      <w:r>
        <w:rPr>
          <w:rStyle w:val="50"/>
          <w:rFonts w:hint="eastAsia"/>
          <w:szCs w:val="28"/>
        </w:rPr>
        <w:tab/>
      </w:r>
      <w:r>
        <w:rPr>
          <w:rStyle w:val="50"/>
        </w:rPr>
        <w:fldChar w:fldCharType="begin"/>
      </w:r>
      <w:r>
        <w:rPr>
          <w:rStyle w:val="50"/>
          <w:rFonts w:hint="eastAsia"/>
          <w:szCs w:val="28"/>
        </w:rPr>
        <w:instrText xml:space="preserve"> PAGEREF _Toc132190610 \h </w:instrText>
      </w:r>
      <w:r>
        <w:rPr>
          <w:rStyle w:val="50"/>
        </w:rPr>
        <w:fldChar w:fldCharType="separate"/>
      </w:r>
      <w:r>
        <w:rPr>
          <w:rStyle w:val="50"/>
          <w:rFonts w:hint="eastAsia"/>
          <w:szCs w:val="28"/>
        </w:rPr>
        <w:t>30</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"_Toc132190611" </w:instrText>
      </w:r>
      <w:r>
        <w:fldChar w:fldCharType="separate"/>
      </w:r>
      <w:r>
        <w:rPr>
          <w:rStyle w:val="50"/>
          <w:rFonts w:hint="eastAsia" w:cs="黑体"/>
          <w:szCs w:val="28"/>
        </w:rPr>
        <w:t>三、履约验收</w:t>
      </w:r>
      <w:r>
        <w:rPr>
          <w:rStyle w:val="50"/>
          <w:rFonts w:hint="eastAsia"/>
          <w:szCs w:val="28"/>
        </w:rPr>
        <w:tab/>
      </w:r>
      <w:r>
        <w:rPr>
          <w:rStyle w:val="50"/>
        </w:rPr>
        <w:fldChar w:fldCharType="begin"/>
      </w:r>
      <w:r>
        <w:rPr>
          <w:rStyle w:val="50"/>
          <w:rFonts w:hint="eastAsia"/>
          <w:szCs w:val="28"/>
        </w:rPr>
        <w:instrText xml:space="preserve"> PAGEREF _Toc132190611 \h </w:instrText>
      </w:r>
      <w:r>
        <w:rPr>
          <w:rStyle w:val="50"/>
        </w:rPr>
        <w:fldChar w:fldCharType="separate"/>
      </w:r>
      <w:r>
        <w:rPr>
          <w:rStyle w:val="50"/>
          <w:rFonts w:hint="eastAsia"/>
          <w:szCs w:val="28"/>
        </w:rPr>
        <w:t>31</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"_Toc132190612" </w:instrText>
      </w:r>
      <w:r>
        <w:fldChar w:fldCharType="separate"/>
      </w:r>
      <w:r>
        <w:rPr>
          <w:rStyle w:val="50"/>
          <w:rFonts w:hint="eastAsia" w:cs="黑体"/>
          <w:szCs w:val="28"/>
        </w:rPr>
        <w:t>四、保密条款</w:t>
      </w:r>
      <w:r>
        <w:rPr>
          <w:rStyle w:val="50"/>
          <w:rFonts w:hint="eastAsia"/>
          <w:szCs w:val="28"/>
        </w:rPr>
        <w:tab/>
      </w:r>
      <w:r>
        <w:rPr>
          <w:rStyle w:val="50"/>
        </w:rPr>
        <w:fldChar w:fldCharType="begin"/>
      </w:r>
      <w:r>
        <w:rPr>
          <w:rStyle w:val="50"/>
          <w:rFonts w:hint="eastAsia"/>
          <w:szCs w:val="28"/>
        </w:rPr>
        <w:instrText xml:space="preserve"> PAGEREF _Toc132190612 \h </w:instrText>
      </w:r>
      <w:r>
        <w:rPr>
          <w:rStyle w:val="50"/>
        </w:rPr>
        <w:fldChar w:fldCharType="separate"/>
      </w:r>
      <w:r>
        <w:rPr>
          <w:rStyle w:val="50"/>
          <w:rFonts w:hint="eastAsia"/>
          <w:szCs w:val="28"/>
        </w:rPr>
        <w:t>32</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"_Toc132190613" </w:instrText>
      </w:r>
      <w:r>
        <w:fldChar w:fldCharType="separate"/>
      </w:r>
      <w:r>
        <w:rPr>
          <w:rStyle w:val="50"/>
          <w:rFonts w:hint="eastAsia" w:cs="黑体"/>
          <w:szCs w:val="28"/>
        </w:rPr>
        <w:t>五、知识产权</w:t>
      </w:r>
      <w:r>
        <w:rPr>
          <w:rStyle w:val="50"/>
          <w:rFonts w:hint="eastAsia"/>
          <w:szCs w:val="28"/>
        </w:rPr>
        <w:tab/>
      </w:r>
      <w:r>
        <w:rPr>
          <w:rStyle w:val="50"/>
        </w:rPr>
        <w:fldChar w:fldCharType="begin"/>
      </w:r>
      <w:r>
        <w:rPr>
          <w:rStyle w:val="50"/>
          <w:rFonts w:hint="eastAsia"/>
          <w:szCs w:val="28"/>
        </w:rPr>
        <w:instrText xml:space="preserve"> PAGEREF _Toc132190613 \h </w:instrText>
      </w:r>
      <w:r>
        <w:rPr>
          <w:rStyle w:val="50"/>
        </w:rPr>
        <w:fldChar w:fldCharType="separate"/>
      </w:r>
      <w:r>
        <w:rPr>
          <w:rStyle w:val="50"/>
          <w:rFonts w:hint="eastAsia"/>
          <w:szCs w:val="28"/>
        </w:rPr>
        <w:t>32</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"_Toc132190614" </w:instrText>
      </w:r>
      <w:r>
        <w:fldChar w:fldCharType="separate"/>
      </w:r>
      <w:r>
        <w:rPr>
          <w:rStyle w:val="50"/>
          <w:rFonts w:hint="eastAsia" w:cs="黑体"/>
          <w:szCs w:val="28"/>
        </w:rPr>
        <w:t>六、合同的变更和解除</w:t>
      </w:r>
      <w:r>
        <w:rPr>
          <w:rStyle w:val="50"/>
          <w:rFonts w:hint="eastAsia"/>
          <w:szCs w:val="28"/>
        </w:rPr>
        <w:tab/>
      </w:r>
      <w:r>
        <w:rPr>
          <w:rStyle w:val="50"/>
        </w:rPr>
        <w:fldChar w:fldCharType="begin"/>
      </w:r>
      <w:r>
        <w:rPr>
          <w:rStyle w:val="50"/>
          <w:rFonts w:hint="eastAsia"/>
          <w:szCs w:val="28"/>
        </w:rPr>
        <w:instrText xml:space="preserve"> PAGEREF _Toc132190614 \h </w:instrText>
      </w:r>
      <w:r>
        <w:rPr>
          <w:rStyle w:val="50"/>
        </w:rPr>
        <w:fldChar w:fldCharType="separate"/>
      </w:r>
      <w:r>
        <w:rPr>
          <w:rStyle w:val="50"/>
          <w:rFonts w:hint="eastAsia"/>
          <w:szCs w:val="28"/>
        </w:rPr>
        <w:t>33</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"_Toc132190615" </w:instrText>
      </w:r>
      <w:r>
        <w:fldChar w:fldCharType="separate"/>
      </w:r>
      <w:r>
        <w:rPr>
          <w:rStyle w:val="50"/>
          <w:rFonts w:hint="eastAsia" w:cs="黑体"/>
          <w:szCs w:val="28"/>
        </w:rPr>
        <w:t>七、履约监督</w:t>
      </w:r>
      <w:r>
        <w:rPr>
          <w:rStyle w:val="50"/>
          <w:rFonts w:hint="eastAsia"/>
          <w:szCs w:val="28"/>
        </w:rPr>
        <w:tab/>
      </w:r>
      <w:r>
        <w:rPr>
          <w:rStyle w:val="50"/>
        </w:rPr>
        <w:fldChar w:fldCharType="begin"/>
      </w:r>
      <w:r>
        <w:rPr>
          <w:rStyle w:val="50"/>
          <w:rFonts w:hint="eastAsia"/>
          <w:szCs w:val="28"/>
        </w:rPr>
        <w:instrText xml:space="preserve"> PAGEREF _Toc132190615 \h </w:instrText>
      </w:r>
      <w:r>
        <w:rPr>
          <w:rStyle w:val="50"/>
        </w:rPr>
        <w:fldChar w:fldCharType="separate"/>
      </w:r>
      <w:r>
        <w:rPr>
          <w:rStyle w:val="50"/>
          <w:rFonts w:hint="eastAsia"/>
          <w:szCs w:val="28"/>
        </w:rPr>
        <w:t>34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"_Toc132190616" </w:instrText>
      </w:r>
      <w:r>
        <w:fldChar w:fldCharType="separate"/>
      </w:r>
      <w:r>
        <w:rPr>
          <w:rStyle w:val="50"/>
          <w:rFonts w:hint="eastAsia" w:cs="黑体"/>
          <w:szCs w:val="28"/>
        </w:rPr>
        <w:t>八、转包与分包</w:t>
      </w:r>
      <w:r>
        <w:rPr>
          <w:rStyle w:val="50"/>
          <w:rFonts w:hint="eastAsia"/>
          <w:szCs w:val="28"/>
        </w:rPr>
        <w:tab/>
      </w:r>
      <w:r>
        <w:rPr>
          <w:rStyle w:val="50"/>
        </w:rPr>
        <w:fldChar w:fldCharType="begin"/>
      </w:r>
      <w:r>
        <w:rPr>
          <w:rStyle w:val="50"/>
          <w:rFonts w:hint="eastAsia"/>
          <w:szCs w:val="28"/>
        </w:rPr>
        <w:instrText xml:space="preserve"> PAGEREF _Toc132190616 \h </w:instrText>
      </w:r>
      <w:r>
        <w:rPr>
          <w:rStyle w:val="50"/>
        </w:rPr>
        <w:fldChar w:fldCharType="separate"/>
      </w:r>
      <w:r>
        <w:rPr>
          <w:rStyle w:val="50"/>
          <w:rFonts w:hint="eastAsia"/>
          <w:szCs w:val="28"/>
        </w:rPr>
        <w:t>34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"_Toc132190617" </w:instrText>
      </w:r>
      <w:r>
        <w:fldChar w:fldCharType="separate"/>
      </w:r>
      <w:r>
        <w:rPr>
          <w:rStyle w:val="50"/>
          <w:rFonts w:hint="eastAsia"/>
          <w:szCs w:val="28"/>
        </w:rPr>
        <w:t>九、违约责任</w:t>
      </w:r>
      <w:r>
        <w:rPr>
          <w:rStyle w:val="50"/>
          <w:rFonts w:hint="eastAsia"/>
          <w:szCs w:val="28"/>
        </w:rPr>
        <w:tab/>
      </w:r>
      <w:r>
        <w:rPr>
          <w:rStyle w:val="50"/>
        </w:rPr>
        <w:fldChar w:fldCharType="begin"/>
      </w:r>
      <w:r>
        <w:rPr>
          <w:rStyle w:val="50"/>
          <w:rFonts w:hint="eastAsia"/>
          <w:szCs w:val="28"/>
        </w:rPr>
        <w:instrText xml:space="preserve"> PAGEREF _Toc132190617 \h </w:instrText>
      </w:r>
      <w:r>
        <w:rPr>
          <w:rStyle w:val="50"/>
        </w:rPr>
        <w:fldChar w:fldCharType="separate"/>
      </w:r>
      <w:r>
        <w:rPr>
          <w:rStyle w:val="50"/>
          <w:rFonts w:hint="eastAsia"/>
          <w:szCs w:val="28"/>
        </w:rPr>
        <w:t>34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"_Toc132190618" </w:instrText>
      </w:r>
      <w:r>
        <w:fldChar w:fldCharType="separate"/>
      </w:r>
      <w:r>
        <w:rPr>
          <w:rStyle w:val="50"/>
          <w:rFonts w:hint="eastAsia" w:cs="黑体"/>
          <w:szCs w:val="28"/>
        </w:rPr>
        <w:t>十、争议解决方式</w:t>
      </w:r>
      <w:r>
        <w:rPr>
          <w:rStyle w:val="50"/>
          <w:rFonts w:hint="eastAsia"/>
          <w:szCs w:val="28"/>
        </w:rPr>
        <w:tab/>
      </w:r>
      <w:r>
        <w:rPr>
          <w:rStyle w:val="50"/>
        </w:rPr>
        <w:fldChar w:fldCharType="begin"/>
      </w:r>
      <w:r>
        <w:rPr>
          <w:rStyle w:val="50"/>
          <w:rFonts w:hint="eastAsia"/>
          <w:szCs w:val="28"/>
        </w:rPr>
        <w:instrText xml:space="preserve"> PAGEREF _Toc132190618 \h </w:instrText>
      </w:r>
      <w:r>
        <w:rPr>
          <w:rStyle w:val="50"/>
        </w:rPr>
        <w:fldChar w:fldCharType="separate"/>
      </w:r>
      <w:r>
        <w:rPr>
          <w:rStyle w:val="50"/>
          <w:rFonts w:hint="eastAsia"/>
          <w:szCs w:val="28"/>
        </w:rPr>
        <w:t>35</w:t>
      </w:r>
      <w:r>
        <w:rPr>
          <w:rStyle w:val="50"/>
        </w:rPr>
        <w:fldChar w:fldCharType="end"/>
      </w:r>
      <w:r>
        <w:rPr>
          <w:rStyle w:val="50"/>
        </w:rPr>
        <w:fldChar w:fldCharType="end"/>
      </w:r>
    </w:p>
    <w:p>
      <w:pPr>
        <w:pStyle w:val="36"/>
        <w:tabs>
          <w:tab w:val="right" w:leader="dot" w:pos="9344"/>
        </w:tabs>
        <w:ind w:left="480"/>
        <w:rPr>
          <w:rFonts w:hint="eastAsia" w:ascii="宋体" w:hAnsi="宋体"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"_Toc132190619" </w:instrText>
      </w:r>
      <w:r>
        <w:fldChar w:fldCharType="separate"/>
      </w:r>
      <w:r>
        <w:rPr>
          <w:rStyle w:val="50"/>
          <w:rFonts w:hint="eastAsia" w:ascii="宋体" w:hAnsi="宋体"/>
          <w:szCs w:val="28"/>
          <w:lang w:val="zh-CN"/>
        </w:rPr>
        <w:t>第三章 投标文件内容及格式</w:t>
      </w:r>
      <w:r>
        <w:rPr>
          <w:rStyle w:val="50"/>
          <w:rFonts w:hint="eastAsia" w:ascii="宋体" w:hAnsi="宋体"/>
          <w:szCs w:val="28"/>
        </w:rPr>
        <w:tab/>
      </w:r>
      <w:r>
        <w:rPr>
          <w:rStyle w:val="50"/>
        </w:rPr>
        <w:fldChar w:fldCharType="begin"/>
      </w:r>
      <w:r>
        <w:rPr>
          <w:rStyle w:val="50"/>
          <w:rFonts w:hint="eastAsia" w:ascii="宋体" w:hAnsi="宋体"/>
          <w:szCs w:val="28"/>
        </w:rPr>
        <w:instrText xml:space="preserve"> PAGEREF _Toc132190619 \h </w:instrText>
      </w:r>
      <w:r>
        <w:rPr>
          <w:rStyle w:val="50"/>
        </w:rPr>
        <w:fldChar w:fldCharType="separate"/>
      </w:r>
      <w:r>
        <w:rPr>
          <w:rStyle w:val="50"/>
          <w:rFonts w:hint="eastAsia" w:ascii="宋体" w:hAnsi="宋体"/>
          <w:szCs w:val="28"/>
        </w:rPr>
        <w:t>36</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"_Toc132190620" </w:instrText>
      </w:r>
      <w:r>
        <w:fldChar w:fldCharType="separate"/>
      </w:r>
      <w:r>
        <w:rPr>
          <w:rStyle w:val="50"/>
          <w:rFonts w:hint="eastAsia"/>
          <w:szCs w:val="28"/>
        </w:rPr>
        <w:t>一、价格文件</w:t>
      </w:r>
      <w:r>
        <w:rPr>
          <w:rStyle w:val="50"/>
          <w:rFonts w:hint="eastAsia"/>
          <w:szCs w:val="28"/>
        </w:rPr>
        <w:tab/>
      </w:r>
      <w:r>
        <w:rPr>
          <w:rStyle w:val="50"/>
        </w:rPr>
        <w:fldChar w:fldCharType="begin"/>
      </w:r>
      <w:r>
        <w:rPr>
          <w:rStyle w:val="50"/>
          <w:rFonts w:hint="eastAsia"/>
          <w:szCs w:val="28"/>
        </w:rPr>
        <w:instrText xml:space="preserve"> PAGEREF _Toc132190620 \h </w:instrText>
      </w:r>
      <w:r>
        <w:rPr>
          <w:rStyle w:val="50"/>
        </w:rPr>
        <w:fldChar w:fldCharType="separate"/>
      </w:r>
      <w:r>
        <w:rPr>
          <w:rStyle w:val="50"/>
          <w:rFonts w:hint="eastAsia"/>
          <w:szCs w:val="28"/>
        </w:rPr>
        <w:t>37</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"_Toc132190621" </w:instrText>
      </w:r>
      <w:r>
        <w:fldChar w:fldCharType="separate"/>
      </w:r>
      <w:r>
        <w:rPr>
          <w:rStyle w:val="50"/>
          <w:rFonts w:hint="eastAsia"/>
          <w:szCs w:val="28"/>
        </w:rPr>
        <w:t>二、商务技术文件</w:t>
      </w:r>
      <w:r>
        <w:rPr>
          <w:rStyle w:val="50"/>
          <w:rFonts w:hint="eastAsia"/>
          <w:szCs w:val="28"/>
        </w:rPr>
        <w:tab/>
      </w:r>
      <w:r>
        <w:rPr>
          <w:rStyle w:val="50"/>
        </w:rPr>
        <w:fldChar w:fldCharType="begin"/>
      </w:r>
      <w:r>
        <w:rPr>
          <w:rStyle w:val="50"/>
          <w:rFonts w:hint="eastAsia"/>
          <w:szCs w:val="28"/>
        </w:rPr>
        <w:instrText xml:space="preserve"> PAGEREF _Toc132190621 \h </w:instrText>
      </w:r>
      <w:r>
        <w:rPr>
          <w:rStyle w:val="50"/>
        </w:rPr>
        <w:fldChar w:fldCharType="separate"/>
      </w:r>
      <w:r>
        <w:rPr>
          <w:rStyle w:val="50"/>
          <w:rFonts w:hint="eastAsia"/>
          <w:szCs w:val="28"/>
        </w:rPr>
        <w:t>44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"_Toc132190622" </w:instrText>
      </w:r>
      <w:r>
        <w:fldChar w:fldCharType="separate"/>
      </w:r>
      <w:r>
        <w:rPr>
          <w:rStyle w:val="50"/>
          <w:rFonts w:hint="eastAsia"/>
          <w:szCs w:val="28"/>
        </w:rPr>
        <w:t>三、资格证明文件</w:t>
      </w:r>
      <w:r>
        <w:rPr>
          <w:rStyle w:val="50"/>
          <w:rFonts w:hint="eastAsia"/>
          <w:szCs w:val="28"/>
        </w:rPr>
        <w:tab/>
      </w:r>
      <w:r>
        <w:rPr>
          <w:rStyle w:val="50"/>
        </w:rPr>
        <w:fldChar w:fldCharType="begin"/>
      </w:r>
      <w:r>
        <w:rPr>
          <w:rStyle w:val="50"/>
          <w:rFonts w:hint="eastAsia"/>
          <w:szCs w:val="28"/>
        </w:rPr>
        <w:instrText xml:space="preserve"> PAGEREF _Toc132190622 \h </w:instrText>
      </w:r>
      <w:r>
        <w:rPr>
          <w:rStyle w:val="50"/>
        </w:rPr>
        <w:fldChar w:fldCharType="separate"/>
      </w:r>
      <w:r>
        <w:rPr>
          <w:rStyle w:val="50"/>
          <w:rFonts w:hint="eastAsia"/>
          <w:szCs w:val="28"/>
        </w:rPr>
        <w:t>60</w:t>
      </w:r>
      <w:r>
        <w:rPr>
          <w:rStyle w:val="50"/>
        </w:rPr>
        <w:fldChar w:fldCharType="end"/>
      </w:r>
      <w:r>
        <w:rPr>
          <w:rStyle w:val="50"/>
        </w:rPr>
        <w:fldChar w:fldCharType="end"/>
      </w:r>
    </w:p>
    <w:p>
      <w:pPr>
        <w:pStyle w:val="32"/>
        <w:tabs>
          <w:tab w:val="right" w:leader="dot" w:pos="9344"/>
        </w:tabs>
        <w:ind w:left="48" w:leftChars="20"/>
        <w:rPr>
          <w:rFonts w:hint="eastAsia" w:ascii="宋体" w:hAnsi="宋体" w:eastAsia="宋体" w:cstheme="minorBidi"/>
          <w:bCs/>
          <w:szCs w:val="28"/>
        </w:rPr>
      </w:pPr>
      <w:r>
        <w:rPr>
          <w:rFonts w:hint="eastAsia"/>
        </w:rPr>
        <w:fldChar w:fldCharType="end"/>
      </w:r>
      <w:r>
        <w:rPr>
          <w:rFonts w:hint="eastAsia" w:ascii="宋体" w:hAnsi="宋体" w:eastAsia="宋体"/>
          <w:bCs/>
          <w:szCs w:val="28"/>
        </w:rPr>
        <w:br w:type="page"/>
      </w:r>
    </w:p>
    <w:p>
      <w:pPr>
        <w:widowControl/>
        <w:spacing w:beforeAutospacing="1" w:afterAutospacing="1" w:line="360" w:lineRule="auto"/>
        <w:jc w:val="left"/>
        <w:rPr>
          <w:rFonts w:ascii="宋体" w:hAnsi="宋体" w:cstheme="minorBidi"/>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418" w:header="851" w:footer="851" w:gutter="0"/>
          <w:pgNumType w:start="10"/>
          <w:cols w:space="720" w:num="1"/>
        </w:sectPr>
      </w:pPr>
    </w:p>
    <w:p>
      <w:pPr>
        <w:pStyle w:val="6"/>
        <w:keepNext w:val="0"/>
        <w:keepLines w:val="0"/>
        <w:adjustRightInd w:val="0"/>
        <w:snapToGrid w:val="0"/>
        <w:spacing w:line="560" w:lineRule="exact"/>
        <w:jc w:val="center"/>
        <w:rPr>
          <w:rFonts w:hint="eastAsia" w:eastAsia="方正小标宋简体"/>
          <w:b w:val="0"/>
          <w:bCs/>
          <w:szCs w:val="44"/>
        </w:rPr>
      </w:pPr>
      <w:bookmarkStart w:id="5" w:name="_Toc23099"/>
      <w:bookmarkStart w:id="6" w:name="_Toc240432230"/>
      <w:bookmarkStart w:id="7" w:name="_Toc285612601"/>
      <w:bookmarkStart w:id="8" w:name="_Toc29108"/>
      <w:bookmarkStart w:id="9" w:name="_Toc132190595"/>
      <w:bookmarkStart w:id="10" w:name="_Toc17163"/>
      <w:bookmarkStart w:id="11" w:name="_Toc112317766"/>
      <w:bookmarkStart w:id="12" w:name="_Toc390713968"/>
      <w:bookmarkStart w:id="13" w:name="_Toc16893"/>
      <w:bookmarkStart w:id="14" w:name="_Hlk112258849"/>
      <w:bookmarkStart w:id="15"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5"/>
      <w:bookmarkEnd w:id="6"/>
      <w:bookmarkEnd w:id="7"/>
      <w:bookmarkEnd w:id="8"/>
      <w:bookmarkEnd w:id="9"/>
      <w:bookmarkEnd w:id="10"/>
      <w:bookmarkEnd w:id="11"/>
      <w:bookmarkEnd w:id="12"/>
      <w:bookmarkEnd w:id="13"/>
    </w:p>
    <w:bookmarkEnd w:id="14"/>
    <w:p>
      <w:pPr>
        <w:pStyle w:val="7"/>
        <w:keepNext w:val="0"/>
        <w:keepLines w:val="0"/>
        <w:numPr>
          <w:ilvl w:val="2"/>
          <w:numId w:val="0"/>
        </w:numPr>
        <w:tabs>
          <w:tab w:val="clear" w:pos="1820"/>
        </w:tabs>
        <w:adjustRightInd w:val="0"/>
        <w:snapToGrid w:val="0"/>
        <w:spacing w:before="120" w:beforeLines="50" w:after="120" w:afterLines="50" w:line="560" w:lineRule="exact"/>
        <w:ind w:leftChars="0"/>
        <w:jc w:val="center"/>
        <w:rPr>
          <w:b w:val="0"/>
        </w:rPr>
      </w:pPr>
      <w:bookmarkStart w:id="16" w:name="_Toc1813"/>
      <w:bookmarkStart w:id="17" w:name="_Toc29252"/>
      <w:bookmarkStart w:id="18" w:name="_Toc132190596"/>
      <w:bookmarkStart w:id="19" w:name="_Toc29441"/>
      <w:bookmarkStart w:id="20" w:name="_Toc4472"/>
      <w:bookmarkStart w:id="21" w:name="_Toc112317767"/>
      <w:r>
        <w:rPr>
          <w:rFonts w:hint="eastAsia"/>
          <w:b w:val="0"/>
        </w:rPr>
        <w:t>一、说</w:t>
      </w:r>
      <w:r>
        <w:rPr>
          <w:b w:val="0"/>
        </w:rPr>
        <w:t xml:space="preserve">  </w:t>
      </w:r>
      <w:r>
        <w:rPr>
          <w:rFonts w:hint="eastAsia"/>
          <w:b w:val="0"/>
        </w:rPr>
        <w:t>明</w:t>
      </w:r>
      <w:bookmarkEnd w:id="16"/>
      <w:bookmarkEnd w:id="17"/>
      <w:bookmarkEnd w:id="18"/>
      <w:bookmarkEnd w:id="19"/>
      <w:bookmarkEnd w:id="20"/>
      <w:bookmarkEnd w:id="21"/>
    </w:p>
    <w:p>
      <w:pPr>
        <w:pStyle w:val="8"/>
        <w:keepNext w:val="0"/>
        <w:keepLines w:val="0"/>
        <w:adjustRightInd w:val="0"/>
        <w:snapToGrid w:val="0"/>
        <w:ind w:firstLine="560" w:firstLineChars="200"/>
        <w:rPr>
          <w:rFonts w:ascii="黑体" w:hAnsi="黑体"/>
          <w:b w:val="0"/>
        </w:rPr>
      </w:pPr>
      <w:bookmarkStart w:id="22" w:name="_Toc23696"/>
      <w:bookmarkStart w:id="23" w:name="_Toc21244"/>
      <w:bookmarkStart w:id="24" w:name="_Toc4155"/>
      <w:bookmarkStart w:id="25" w:name="_Toc12237"/>
      <w:r>
        <w:rPr>
          <w:rFonts w:hint="eastAsia" w:ascii="黑体" w:hAnsi="黑体"/>
          <w:b w:val="0"/>
        </w:rPr>
        <w:t>1</w:t>
      </w:r>
      <w:r>
        <w:rPr>
          <w:rFonts w:hint="eastAsia" w:ascii="黑体" w:hAnsi="黑体"/>
          <w:b w:val="0"/>
          <w:snapToGrid w:val="0"/>
        </w:rPr>
        <w:t>.</w:t>
      </w:r>
      <w:r>
        <w:rPr>
          <w:rFonts w:hint="eastAsia" w:ascii="黑体" w:hAnsi="黑体"/>
          <w:b w:val="0"/>
        </w:rPr>
        <w:t>概述</w:t>
      </w:r>
      <w:bookmarkEnd w:id="22"/>
      <w:bookmarkEnd w:id="23"/>
      <w:bookmarkEnd w:id="24"/>
      <w:bookmarkEnd w:id="25"/>
    </w:p>
    <w:p>
      <w:pPr>
        <w:adjustRightInd w:val="0"/>
        <w:snapToGrid w:val="0"/>
        <w:spacing w:line="560" w:lineRule="exact"/>
        <w:ind w:firstLine="560" w:firstLineChars="200"/>
        <w:rPr>
          <w:rFonts w:hint="eastAsia" w:ascii="宋体" w:hAnsi="宋体"/>
          <w:bCs/>
          <w:snapToGrid w:val="0"/>
          <w:sz w:val="28"/>
          <w:szCs w:val="28"/>
          <w:lang w:val="zh-CN"/>
        </w:rPr>
      </w:pPr>
      <w:r>
        <w:rPr>
          <w:rFonts w:hint="eastAsia" w:ascii="宋体" w:hAnsi="宋体"/>
          <w:bCs/>
          <w:snapToGrid w:val="0"/>
          <w:sz w:val="28"/>
          <w:szCs w:val="28"/>
          <w:lang w:val="zh-CN"/>
        </w:rPr>
        <w:t>1.1本文件适用于军队物资类公开招标采购项目，用于明确一般性组织程序和实施要求。投标供应商应当结合采购项目招标文件的专用文件，全面了解采购项目信息。</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napToGrid w:val="0"/>
          <w:sz w:val="28"/>
          <w:szCs w:val="28"/>
        </w:rPr>
        <w:t>1.2招标投标各参加方，对在参与招标投标过程中获悉的国家、军队和商业秘密，以及其他依法应当保密的内容，均负有保密义务，违者应当承担相应的法律责任。</w:t>
      </w:r>
    </w:p>
    <w:p>
      <w:pPr>
        <w:pStyle w:val="8"/>
        <w:keepNext w:val="0"/>
        <w:keepLines w:val="0"/>
        <w:adjustRightInd w:val="0"/>
        <w:snapToGrid w:val="0"/>
        <w:ind w:firstLine="560" w:firstLineChars="200"/>
        <w:rPr>
          <w:rFonts w:hint="eastAsia" w:ascii="黑体" w:hAnsi="黑体"/>
          <w:b w:val="0"/>
        </w:rPr>
      </w:pPr>
      <w:bookmarkStart w:id="26" w:name="_Toc14495"/>
      <w:bookmarkStart w:id="27" w:name="_Toc15196"/>
      <w:bookmarkStart w:id="28" w:name="_Toc5916"/>
      <w:bookmarkStart w:id="29" w:name="_Toc4805"/>
      <w:r>
        <w:rPr>
          <w:rFonts w:hint="eastAsia" w:ascii="黑体" w:hAnsi="黑体"/>
          <w:b w:val="0"/>
        </w:rPr>
        <w:t>2.定义</w:t>
      </w:r>
      <w:bookmarkEnd w:id="26"/>
      <w:bookmarkEnd w:id="27"/>
      <w:bookmarkEnd w:id="28"/>
      <w:bookmarkEnd w:id="29"/>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2.1“采购项目”是指本招标文件描述的所需采购的物资及其相关服务。</w:t>
      </w:r>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2.2“采购机构”是指组织本次招标的采购机构或代理机构。</w:t>
      </w:r>
    </w:p>
    <w:p>
      <w:pPr>
        <w:adjustRightInd w:val="0"/>
        <w:snapToGrid w:val="0"/>
        <w:spacing w:line="560" w:lineRule="exact"/>
        <w:ind w:firstLine="560" w:firstLineChars="200"/>
        <w:rPr>
          <w:rFonts w:hint="eastAsia"/>
          <w:sz w:val="21"/>
        </w:rPr>
      </w:pPr>
      <w:r>
        <w:rPr>
          <w:rFonts w:hint="eastAsia" w:ascii="宋体" w:hAnsi="宋体"/>
          <w:bCs/>
          <w:snapToGrid w:val="0"/>
          <w:sz w:val="28"/>
          <w:szCs w:val="28"/>
        </w:rPr>
        <w:t>2.3“采购单位”是指本次采购物资和相关服务的需求单位。</w:t>
      </w:r>
    </w:p>
    <w:p>
      <w:pPr>
        <w:adjustRightInd w:val="0"/>
        <w:snapToGrid w:val="0"/>
        <w:spacing w:line="560" w:lineRule="exact"/>
        <w:ind w:firstLine="560" w:firstLineChars="200"/>
        <w:rPr>
          <w:rFonts w:ascii="宋体" w:hAnsi="宋体"/>
          <w:bCs/>
          <w:snapToGrid w:val="0"/>
          <w:sz w:val="28"/>
          <w:szCs w:val="28"/>
        </w:rPr>
      </w:pPr>
      <w:r>
        <w:rPr>
          <w:rFonts w:hint="eastAsia" w:ascii="宋体" w:hAnsi="宋体"/>
          <w:bCs/>
          <w:snapToGrid w:val="0"/>
          <w:sz w:val="28"/>
          <w:szCs w:val="28"/>
        </w:rPr>
        <w:t>2.4“投标供应商”是指从采购机构按规定获取招标文件并提交投标文件的供应商。</w:t>
      </w:r>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2.5“</w:t>
      </w:r>
      <w:bookmarkStart w:id="30" w:name="_Hlk112421795"/>
      <w:r>
        <w:rPr>
          <w:rFonts w:hint="eastAsia" w:ascii="宋体" w:hAnsi="宋体"/>
          <w:bCs/>
          <w:snapToGrid w:val="0"/>
          <w:sz w:val="28"/>
          <w:szCs w:val="28"/>
        </w:rPr>
        <w:t>预中标供应商</w:t>
      </w:r>
      <w:bookmarkEnd w:id="30"/>
      <w:r>
        <w:rPr>
          <w:rFonts w:hint="eastAsia" w:ascii="宋体" w:hAnsi="宋体"/>
          <w:bCs/>
          <w:snapToGrid w:val="0"/>
          <w:sz w:val="28"/>
          <w:szCs w:val="28"/>
        </w:rPr>
        <w:t>”是指</w:t>
      </w:r>
      <w:r>
        <w:rPr>
          <w:rFonts w:hint="eastAsia" w:ascii="宋体" w:hAnsi="宋体"/>
          <w:bCs/>
          <w:snapToGrid w:val="0"/>
          <w:sz w:val="28"/>
          <w:szCs w:val="28"/>
          <w:lang w:val="zh-CN"/>
        </w:rPr>
        <w:t>经过招标评审，获得中标资格的投标供应商</w:t>
      </w:r>
      <w:r>
        <w:rPr>
          <w:rFonts w:hint="eastAsia" w:ascii="宋体" w:hAnsi="宋体"/>
          <w:bCs/>
          <w:snapToGrid w:val="0"/>
          <w:sz w:val="28"/>
          <w:szCs w:val="28"/>
        </w:rPr>
        <w:t>。</w:t>
      </w:r>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2.6“中标供应商”是指</w:t>
      </w:r>
      <w:r>
        <w:rPr>
          <w:rFonts w:hint="eastAsia" w:ascii="宋体" w:hAnsi="宋体"/>
          <w:bCs/>
          <w:snapToGrid w:val="0"/>
          <w:sz w:val="28"/>
          <w:szCs w:val="28"/>
          <w:lang w:val="zh-CN"/>
        </w:rPr>
        <w:t>经过招标评审，</w:t>
      </w:r>
      <w:bookmarkStart w:id="31" w:name="_Hlk112351339"/>
      <w:bookmarkStart w:id="32" w:name="_Hlk112259183"/>
      <w:r>
        <w:rPr>
          <w:rFonts w:hint="eastAsia" w:ascii="宋体" w:hAnsi="宋体"/>
          <w:bCs/>
          <w:snapToGrid w:val="0"/>
          <w:sz w:val="28"/>
          <w:szCs w:val="28"/>
          <w:lang w:val="zh-CN"/>
        </w:rPr>
        <w:t>获得合同签订资格</w:t>
      </w:r>
      <w:bookmarkEnd w:id="31"/>
      <w:r>
        <w:rPr>
          <w:rFonts w:hint="eastAsia" w:ascii="宋体" w:hAnsi="宋体"/>
          <w:bCs/>
          <w:snapToGrid w:val="0"/>
          <w:sz w:val="28"/>
          <w:szCs w:val="28"/>
          <w:lang w:val="zh-CN"/>
        </w:rPr>
        <w:t>的投标供应商</w:t>
      </w:r>
      <w:bookmarkEnd w:id="32"/>
      <w:r>
        <w:rPr>
          <w:rFonts w:hint="eastAsia" w:ascii="宋体" w:hAnsi="宋体"/>
          <w:bCs/>
          <w:snapToGrid w:val="0"/>
          <w:sz w:val="28"/>
          <w:szCs w:val="28"/>
        </w:rPr>
        <w:t>。</w:t>
      </w:r>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2.7“物资”是指中标供应商按招标文件规定，提供的各种形态和种类的物品，包括设备、产品、备品备件、工具、手册等。</w:t>
      </w:r>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2.8“服务”是指中标供应商按招标文件规定，应当承担的运输、安装、调试、技术协助、培训、维修及配件供应等义务。</w:t>
      </w:r>
    </w:p>
    <w:p>
      <w:pPr>
        <w:pStyle w:val="8"/>
        <w:keepNext w:val="0"/>
        <w:keepLines w:val="0"/>
        <w:adjustRightInd w:val="0"/>
        <w:snapToGrid w:val="0"/>
        <w:ind w:firstLine="560" w:firstLineChars="200"/>
        <w:rPr>
          <w:rFonts w:hint="eastAsia" w:ascii="黑体" w:hAnsi="黑体"/>
          <w:b w:val="0"/>
        </w:rPr>
      </w:pPr>
      <w:bookmarkStart w:id="33" w:name="_Toc20918"/>
      <w:bookmarkStart w:id="34" w:name="_Toc30001"/>
      <w:bookmarkStart w:id="35" w:name="_Toc24817"/>
      <w:bookmarkStart w:id="36" w:name="_Toc6915"/>
      <w:r>
        <w:rPr>
          <w:rFonts w:hint="eastAsia" w:ascii="黑体" w:hAnsi="黑体"/>
          <w:b w:val="0"/>
        </w:rPr>
        <w:t>3.合格的投标供应商</w:t>
      </w:r>
      <w:bookmarkEnd w:id="33"/>
      <w:bookmarkEnd w:id="34"/>
      <w:bookmarkEnd w:id="35"/>
      <w:bookmarkEnd w:id="36"/>
    </w:p>
    <w:p>
      <w:pPr>
        <w:tabs>
          <w:tab w:val="left" w:pos="574"/>
        </w:tabs>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3.1能够遵守国家和军队的有关法律、法规和本次招标的有关规定。</w:t>
      </w:r>
    </w:p>
    <w:p>
      <w:pPr>
        <w:tabs>
          <w:tab w:val="left" w:pos="574"/>
        </w:tabs>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3.2符合招标文件的专用文件</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rPr>
        <w:t>所述的投标供应商资格条件。</w:t>
      </w:r>
    </w:p>
    <w:p>
      <w:pPr>
        <w:tabs>
          <w:tab w:val="left" w:pos="574"/>
        </w:tabs>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3.3能够承担投标文件及采购合同中明确的全部责任与义务。</w:t>
      </w:r>
    </w:p>
    <w:p>
      <w:pPr>
        <w:pStyle w:val="8"/>
        <w:keepNext w:val="0"/>
        <w:keepLines w:val="0"/>
        <w:adjustRightInd w:val="0"/>
        <w:snapToGrid w:val="0"/>
        <w:ind w:firstLine="560" w:firstLineChars="200"/>
        <w:rPr>
          <w:rFonts w:hint="eastAsia" w:ascii="黑体" w:hAnsi="黑体"/>
          <w:b w:val="0"/>
        </w:rPr>
      </w:pPr>
      <w:bookmarkStart w:id="37" w:name="_Toc16827"/>
      <w:bookmarkStart w:id="38" w:name="_Toc31193"/>
      <w:bookmarkStart w:id="39" w:name="_Toc385"/>
      <w:bookmarkStart w:id="40" w:name="_Toc22457"/>
      <w:r>
        <w:rPr>
          <w:rFonts w:hint="eastAsia" w:ascii="黑体" w:hAnsi="黑体"/>
          <w:b w:val="0"/>
        </w:rPr>
        <w:t>4.合格的物资及其相关服务</w:t>
      </w:r>
      <w:bookmarkEnd w:id="37"/>
      <w:bookmarkEnd w:id="38"/>
      <w:bookmarkEnd w:id="39"/>
      <w:bookmarkEnd w:id="40"/>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4.1投标供应商对其提供的物资应当享有合法的所有权，没有侵犯任何第三方的知识产权、技术秘密等权利，而且不存在任何抵押、留置、查封等产权瑕疵。</w:t>
      </w:r>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4.2投标供应商提供的物资应当是全新且未使用过的，物资和相关服务应当符合招标文件要求。</w:t>
      </w:r>
    </w:p>
    <w:p>
      <w:pPr>
        <w:pStyle w:val="8"/>
        <w:keepNext w:val="0"/>
        <w:keepLines w:val="0"/>
        <w:adjustRightInd w:val="0"/>
        <w:snapToGrid w:val="0"/>
        <w:ind w:firstLine="560" w:firstLineChars="200"/>
        <w:rPr>
          <w:rFonts w:hint="eastAsia" w:ascii="黑体" w:hAnsi="黑体"/>
          <w:b w:val="0"/>
        </w:rPr>
      </w:pPr>
      <w:bookmarkStart w:id="41" w:name="_Toc14319"/>
      <w:bookmarkStart w:id="42" w:name="_Toc32694"/>
      <w:bookmarkStart w:id="43" w:name="_Toc19329"/>
      <w:bookmarkStart w:id="44" w:name="_Toc26490"/>
      <w:r>
        <w:rPr>
          <w:rFonts w:hint="eastAsia" w:ascii="黑体" w:hAnsi="黑体"/>
          <w:b w:val="0"/>
        </w:rPr>
        <w:t>5.投标委托</w:t>
      </w:r>
      <w:bookmarkEnd w:id="41"/>
      <w:bookmarkEnd w:id="42"/>
      <w:bookmarkEnd w:id="43"/>
      <w:bookmarkEnd w:id="44"/>
    </w:p>
    <w:p>
      <w:pPr>
        <w:adjustRightInd w:val="0"/>
        <w:snapToGrid w:val="0"/>
        <w:spacing w:line="560" w:lineRule="exact"/>
        <w:ind w:firstLine="560" w:firstLineChars="200"/>
        <w:rPr>
          <w:rFonts w:hint="eastAsia" w:asciiTheme="majorEastAsia" w:hAnsiTheme="majorEastAsia" w:eastAsiaTheme="majorEastAsia"/>
          <w:bCs/>
          <w:snapToGrid w:val="0"/>
          <w:sz w:val="28"/>
          <w:szCs w:val="28"/>
        </w:rPr>
      </w:pPr>
      <w:r>
        <w:rPr>
          <w:rFonts w:hint="eastAsia" w:asciiTheme="majorEastAsia" w:hAnsiTheme="majorEastAsia" w:eastAsiaTheme="majorEastAsia"/>
          <w:bCs/>
          <w:snapToGrid w:val="0"/>
          <w:sz w:val="28"/>
          <w:szCs w:val="28"/>
        </w:rPr>
        <w:t>5.1如投标供应商代表不是法定代表人，应当在投标文件中提供《法定代表人授权书》，后附授权代表在投标前4个月内（不含投标当月）连续3个月由投标供应商缴纳社保证明材料。代缴社保证明材料不予认可。</w:t>
      </w:r>
    </w:p>
    <w:p>
      <w:pPr>
        <w:pStyle w:val="8"/>
        <w:keepNext w:val="0"/>
        <w:keepLines w:val="0"/>
        <w:adjustRightInd w:val="0"/>
        <w:snapToGrid w:val="0"/>
        <w:ind w:firstLine="560" w:firstLineChars="200"/>
        <w:rPr>
          <w:rFonts w:hint="eastAsia" w:ascii="黑体" w:hAnsi="黑体"/>
          <w:b w:val="0"/>
        </w:rPr>
      </w:pPr>
      <w:bookmarkStart w:id="45" w:name="_Toc9227"/>
      <w:bookmarkStart w:id="46" w:name="_Toc19327"/>
      <w:bookmarkStart w:id="47" w:name="_Toc18715"/>
      <w:bookmarkStart w:id="48" w:name="_Toc8712"/>
      <w:r>
        <w:rPr>
          <w:rFonts w:hint="eastAsia" w:ascii="黑体" w:hAnsi="黑体"/>
          <w:b w:val="0"/>
        </w:rPr>
        <w:t>6.投标费用</w:t>
      </w:r>
      <w:bookmarkEnd w:id="45"/>
      <w:bookmarkEnd w:id="46"/>
      <w:bookmarkEnd w:id="47"/>
      <w:bookmarkEnd w:id="48"/>
    </w:p>
    <w:p>
      <w:pPr>
        <w:adjustRightInd w:val="0"/>
        <w:snapToGrid w:val="0"/>
        <w:spacing w:line="560" w:lineRule="exact"/>
        <w:ind w:firstLine="560" w:firstLineChars="200"/>
        <w:rPr>
          <w:rFonts w:hint="eastAsia" w:ascii="宋体" w:hAnsi="宋体"/>
          <w:bCs/>
          <w:snapToGrid w:val="0"/>
          <w:sz w:val="28"/>
          <w:szCs w:val="28"/>
        </w:rPr>
      </w:pPr>
      <w:r>
        <w:rPr>
          <w:rFonts w:hint="eastAsia" w:ascii="宋体" w:hAnsi="宋体"/>
          <w:bCs/>
          <w:snapToGrid w:val="0"/>
          <w:sz w:val="28"/>
          <w:szCs w:val="28"/>
        </w:rPr>
        <w:t>6.1无论投标结果如何，投标供应商均应当自行承担准备和参加投标相关的全部费用。</w:t>
      </w:r>
      <w:bookmarkStart w:id="49" w:name="_Toc112317768"/>
    </w:p>
    <w:p>
      <w:pPr>
        <w:pStyle w:val="8"/>
        <w:keepNext w:val="0"/>
        <w:keepLines w:val="0"/>
        <w:adjustRightInd w:val="0"/>
        <w:snapToGrid w:val="0"/>
        <w:ind w:firstLine="560" w:firstLineChars="200"/>
        <w:rPr>
          <w:rFonts w:hint="eastAsia" w:ascii="黑体" w:hAnsi="黑体"/>
          <w:b w:val="0"/>
        </w:rPr>
      </w:pPr>
      <w:bookmarkStart w:id="50" w:name="_Toc27134"/>
      <w:bookmarkStart w:id="51" w:name="_Toc28246"/>
      <w:bookmarkStart w:id="52" w:name="_Toc21299"/>
      <w:bookmarkStart w:id="53" w:name="_Toc3327"/>
      <w:r>
        <w:rPr>
          <w:rFonts w:hint="eastAsia" w:ascii="黑体" w:hAnsi="黑体"/>
          <w:b w:val="0"/>
        </w:rPr>
        <w:t>7.组织现场踏勘或召开标前答疑会</w:t>
      </w:r>
      <w:bookmarkEnd w:id="50"/>
      <w:bookmarkEnd w:id="51"/>
      <w:bookmarkEnd w:id="52"/>
      <w:bookmarkEnd w:id="53"/>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7.1采购机构可以在【投标供应商须知前附表】明确的招标文件申领时间截止后，组织已获取招标文件的投标供应商现场踏勘或召开标前答疑会。</w:t>
      </w:r>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7.2已申领招标文件的供应商按【投标供应商须知前附表】明确的要求参加现场踏勘或标前答疑会；如不参加，风险自行承担。</w:t>
      </w:r>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7.3投标供应商现场踏勘或参加标前答疑会的费用自行承担，现场踏勘期间发生的人身伤害及财产损失自行负责。</w:t>
      </w:r>
    </w:p>
    <w:p>
      <w:pPr>
        <w:pStyle w:val="285"/>
        <w:spacing w:before="0" w:beforeAutospacing="0" w:after="0" w:afterAutospacing="0" w:line="560" w:lineRule="exact"/>
        <w:ind w:firstLine="560" w:firstLineChars="200"/>
        <w:rPr>
          <w:rFonts w:hint="eastAsia"/>
          <w:bCs/>
          <w:sz w:val="28"/>
          <w:szCs w:val="28"/>
        </w:rPr>
      </w:pPr>
      <w:r>
        <w:rPr>
          <w:rFonts w:hint="eastAsia" w:asciiTheme="minorEastAsia" w:hAnsiTheme="minorEastAsia" w:eastAsiaTheme="minorEastAsia"/>
          <w:bCs/>
          <w:sz w:val="28"/>
          <w:szCs w:val="28"/>
        </w:rPr>
        <w:t>7.4</w:t>
      </w:r>
      <w:r>
        <w:rPr>
          <w:rFonts w:hint="eastAsia"/>
          <w:bCs/>
          <w:sz w:val="28"/>
          <w:szCs w:val="28"/>
        </w:rPr>
        <w:t>采购机构不对</w:t>
      </w:r>
      <w:r>
        <w:rPr>
          <w:rStyle w:val="294"/>
          <w:rFonts w:hint="default" w:cs="Arial"/>
          <w:sz w:val="28"/>
          <w:szCs w:val="28"/>
        </w:rPr>
        <w:t>招标文件或最终书面答复之外，投标供应商自行得出的推论、理解和结论</w:t>
      </w:r>
      <w:r>
        <w:rPr>
          <w:rFonts w:hint="eastAsia"/>
          <w:bCs/>
          <w:sz w:val="28"/>
          <w:szCs w:val="28"/>
        </w:rPr>
        <w:t>负责。投标供应商未参加现场踏勘或</w:t>
      </w:r>
      <w:r>
        <w:rPr>
          <w:rFonts w:hint="eastAsia" w:asciiTheme="minorEastAsia" w:hAnsiTheme="minorEastAsia" w:eastAsiaTheme="minorEastAsia"/>
          <w:bCs/>
          <w:sz w:val="28"/>
          <w:szCs w:val="28"/>
        </w:rPr>
        <w:t>标前</w:t>
      </w:r>
      <w:r>
        <w:rPr>
          <w:rFonts w:hint="eastAsia"/>
          <w:bCs/>
          <w:sz w:val="28"/>
          <w:szCs w:val="28"/>
        </w:rPr>
        <w:t>答疑会的，一旦中标，不得以任何借口，提出额外补偿或延长合同期限等不合理要求。</w:t>
      </w:r>
    </w:p>
    <w:p>
      <w:pPr>
        <w:pStyle w:val="8"/>
        <w:keepNext w:val="0"/>
        <w:keepLines w:val="0"/>
        <w:adjustRightInd w:val="0"/>
        <w:snapToGrid w:val="0"/>
        <w:ind w:firstLine="560" w:firstLineChars="200"/>
        <w:rPr>
          <w:rFonts w:hint="eastAsia" w:ascii="黑体" w:hAnsi="黑体"/>
          <w:b w:val="0"/>
        </w:rPr>
      </w:pPr>
      <w:bookmarkStart w:id="54" w:name="_Toc27257"/>
      <w:bookmarkStart w:id="55" w:name="_Toc15865"/>
      <w:bookmarkStart w:id="56" w:name="_Toc22602"/>
      <w:bookmarkStart w:id="57" w:name="_Toc3251"/>
      <w:r>
        <w:rPr>
          <w:rFonts w:hint="eastAsia" w:ascii="黑体" w:hAnsi="黑体"/>
          <w:b w:val="0"/>
        </w:rPr>
        <w:t>8.信息发布及媒体</w:t>
      </w:r>
      <w:bookmarkEnd w:id="54"/>
      <w:bookmarkEnd w:id="55"/>
      <w:bookmarkEnd w:id="56"/>
      <w:bookmarkEnd w:id="57"/>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宋体" w:hAnsi="宋体"/>
          <w:bCs/>
          <w:snapToGrid w:val="0"/>
          <w:sz w:val="28"/>
          <w:szCs w:val="28"/>
        </w:rPr>
        <w:t>8.1投标供应商参与采购活动期间，应当及时关注</w:t>
      </w:r>
      <w:bookmarkStart w:id="58" w:name="_Hlk112497301"/>
      <w:r>
        <w:rPr>
          <w:rFonts w:hint="eastAsia" w:asciiTheme="minorEastAsia" w:hAnsiTheme="minorEastAsia" w:eastAsiaTheme="minorEastAsia"/>
          <w:bCs/>
          <w:sz w:val="28"/>
          <w:szCs w:val="28"/>
        </w:rPr>
        <w:t>【投标供应商须知前附表】明确的</w:t>
      </w:r>
      <w:bookmarkStart w:id="59" w:name="_Hlk112508361"/>
      <w:r>
        <w:rPr>
          <w:rFonts w:hint="eastAsia" w:ascii="宋体" w:hAnsi="宋体"/>
          <w:bCs/>
          <w:snapToGrid w:val="0"/>
          <w:sz w:val="28"/>
          <w:szCs w:val="28"/>
        </w:rPr>
        <w:t>媒体</w:t>
      </w:r>
      <w:bookmarkEnd w:id="58"/>
      <w:bookmarkEnd w:id="59"/>
      <w:r>
        <w:rPr>
          <w:rFonts w:hint="eastAsia" w:ascii="宋体" w:hAnsi="宋体"/>
          <w:bCs/>
          <w:snapToGrid w:val="0"/>
          <w:sz w:val="28"/>
          <w:szCs w:val="28"/>
        </w:rPr>
        <w:t>上发布的项目相关信息。</w:t>
      </w:r>
    </w:p>
    <w:p>
      <w:pPr>
        <w:pStyle w:val="7"/>
        <w:keepNext w:val="0"/>
        <w:keepLines w:val="0"/>
        <w:adjustRightInd w:val="0"/>
        <w:snapToGrid w:val="0"/>
        <w:spacing w:before="120" w:beforeLines="50" w:after="120" w:afterLines="50" w:line="560" w:lineRule="exact"/>
        <w:jc w:val="center"/>
        <w:rPr>
          <w:rFonts w:hint="eastAsia" w:ascii="Times New Roman" w:hAnsi="Times New Roman" w:eastAsia="黑体"/>
          <w:b w:val="0"/>
        </w:rPr>
      </w:pPr>
      <w:bookmarkStart w:id="60" w:name="_Toc19582"/>
      <w:bookmarkStart w:id="61" w:name="_Toc2754"/>
      <w:bookmarkStart w:id="62" w:name="_Toc12848"/>
      <w:bookmarkStart w:id="63" w:name="_Toc20584"/>
      <w:bookmarkStart w:id="64" w:name="_Toc132190597"/>
      <w:r>
        <w:rPr>
          <w:rFonts w:hint="eastAsia"/>
          <w:b w:val="0"/>
        </w:rPr>
        <w:t>二、招标文件</w:t>
      </w:r>
      <w:bookmarkEnd w:id="49"/>
      <w:bookmarkEnd w:id="60"/>
      <w:bookmarkEnd w:id="61"/>
      <w:bookmarkEnd w:id="62"/>
      <w:bookmarkEnd w:id="63"/>
      <w:r>
        <w:rPr>
          <w:rFonts w:hint="eastAsia"/>
          <w:b w:val="0"/>
        </w:rPr>
        <w:t>的内容及澄清与修改</w:t>
      </w:r>
      <w:bookmarkEnd w:id="64"/>
    </w:p>
    <w:p>
      <w:pPr>
        <w:pStyle w:val="8"/>
        <w:keepNext w:val="0"/>
        <w:keepLines w:val="0"/>
        <w:adjustRightInd w:val="0"/>
        <w:snapToGrid w:val="0"/>
        <w:ind w:firstLine="560" w:firstLineChars="200"/>
        <w:rPr>
          <w:rFonts w:ascii="黑体" w:hAnsi="黑体"/>
          <w:b w:val="0"/>
        </w:rPr>
      </w:pPr>
      <w:bookmarkStart w:id="65" w:name="_Toc28585"/>
      <w:bookmarkStart w:id="66" w:name="_Toc19910"/>
      <w:bookmarkStart w:id="67" w:name="_Toc3578"/>
      <w:bookmarkStart w:id="68" w:name="_Toc1093"/>
      <w:r>
        <w:rPr>
          <w:rFonts w:hint="eastAsia" w:ascii="黑体" w:hAnsi="黑体"/>
          <w:b w:val="0"/>
        </w:rPr>
        <w:t>9.招标文件的内容</w:t>
      </w:r>
      <w:bookmarkEnd w:id="65"/>
      <w:bookmarkEnd w:id="66"/>
      <w:bookmarkEnd w:id="67"/>
      <w:bookmarkEnd w:id="68"/>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9.1</w:t>
      </w:r>
      <w:r>
        <w:rPr>
          <w:rFonts w:hint="eastAsia" w:ascii="宋体" w:hAnsi="宋体"/>
          <w:bCs/>
          <w:sz w:val="28"/>
          <w:szCs w:val="28"/>
        </w:rPr>
        <w:t>招标文件由特别提示、通用文件和专用文件3部分组成，通用文件载明军队物资类公开招标项目的一般性说明，专用文件载明本项目特定条件和要求。通用文件与专用文件内容不一致的，以专用文件为准。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9.2招标文件以中文编写。为便于投标供应商编制投标文件，采购机构可以向投标供应商提供电子版招标文件，纸质版与电子版招标文件内容不一致的，以纸质版为准。</w:t>
      </w:r>
    </w:p>
    <w:p>
      <w:pPr>
        <w:pStyle w:val="8"/>
        <w:keepNext w:val="0"/>
        <w:keepLines w:val="0"/>
        <w:adjustRightInd w:val="0"/>
        <w:snapToGrid w:val="0"/>
        <w:ind w:firstLine="560" w:firstLineChars="200"/>
        <w:rPr>
          <w:rFonts w:hint="eastAsia" w:ascii="黑体" w:hAnsi="黑体"/>
          <w:b w:val="0"/>
        </w:rPr>
      </w:pPr>
      <w:bookmarkStart w:id="69" w:name="_Toc22181"/>
      <w:bookmarkStart w:id="70" w:name="_Toc8853"/>
      <w:bookmarkStart w:id="71" w:name="_Toc24177"/>
      <w:bookmarkStart w:id="72" w:name="_Toc20436"/>
      <w:r>
        <w:rPr>
          <w:rFonts w:hint="eastAsia" w:ascii="黑体" w:hAnsi="黑体"/>
          <w:b w:val="0"/>
        </w:rPr>
        <w:t>10.招标文件的澄清</w:t>
      </w:r>
      <w:bookmarkEnd w:id="69"/>
      <w:bookmarkEnd w:id="70"/>
      <w:bookmarkEnd w:id="71"/>
      <w:bookmarkEnd w:id="72"/>
      <w:r>
        <w:rPr>
          <w:rFonts w:hint="eastAsia" w:ascii="黑体" w:hAnsi="黑体"/>
          <w:b w:val="0"/>
        </w:rPr>
        <w:t>与修改</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hint="eastAsia" w:ascii="宋体" w:hAnsi="宋体"/>
          <w:bCs/>
          <w:sz w:val="28"/>
          <w:szCs w:val="28"/>
        </w:rPr>
        <w:t>投标截止时间10日前以书面形式通知采购机构，采购机构视情以适当方式予以澄清。如有必要，在不标明问题来源情况下，采购机构可将答复内容以公告或书面形式通知所有已申领招标文件的供应商。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10.2投标截止时间前，采购机构可以对已发出的招标文件进行必要的澄清和修改。</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10.3澄清的内容不影响投标文件编制的，采购机构可以采取发布澄清公告或书面函告等形式通知所有已申领招标文件的供应商。澄清的内容为招标文件的组成部分。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10.4</w:t>
      </w:r>
      <w:r>
        <w:rPr>
          <w:rStyle w:val="294"/>
          <w:rFonts w:hint="default" w:ascii="宋体" w:hAnsi="宋体" w:cs="Arial"/>
          <w:sz w:val="28"/>
          <w:szCs w:val="28"/>
        </w:rPr>
        <w:t>澄清或修改的内容可能影响投标文件编制的</w:t>
      </w:r>
      <w:r>
        <w:rPr>
          <w:rFonts w:hint="eastAsia" w:ascii="宋体" w:hAnsi="宋体"/>
          <w:bCs/>
          <w:sz w:val="28"/>
          <w:szCs w:val="28"/>
        </w:rPr>
        <w:t>，采购机构将在提交投标文件截止时间15日前，发布公告并且书面函告所有已申领招标文件的供应商；不足15日的，将相应顺延提交投标文件的截止时间。</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10.5采购标的、关键技术参数、资格条件等内容需修改的，采购机构将重新发布招标公告，并书面函告所有已申领招标文件的供应商。</w:t>
      </w:r>
    </w:p>
    <w:p>
      <w:pPr>
        <w:pStyle w:val="7"/>
        <w:keepNext w:val="0"/>
        <w:keepLines w:val="0"/>
        <w:adjustRightInd w:val="0"/>
        <w:snapToGrid w:val="0"/>
        <w:spacing w:before="120" w:beforeLines="50" w:after="120" w:afterLines="50" w:line="560" w:lineRule="exact"/>
        <w:jc w:val="center"/>
        <w:rPr>
          <w:rFonts w:hint="eastAsia" w:ascii="Times New Roman" w:hAnsi="Times New Roman"/>
          <w:b w:val="0"/>
        </w:rPr>
      </w:pPr>
      <w:bookmarkStart w:id="73" w:name="_Toc29121"/>
      <w:bookmarkStart w:id="74" w:name="_Toc7979"/>
      <w:bookmarkStart w:id="75" w:name="_Toc21372"/>
      <w:bookmarkStart w:id="76" w:name="_Toc112317769"/>
      <w:bookmarkStart w:id="77" w:name="_Toc10634"/>
      <w:bookmarkStart w:id="78" w:name="_Toc132190598"/>
      <w:r>
        <w:rPr>
          <w:rFonts w:hint="eastAsia"/>
          <w:b w:val="0"/>
        </w:rPr>
        <w:t>三、投标文件</w:t>
      </w:r>
      <w:bookmarkEnd w:id="73"/>
      <w:bookmarkEnd w:id="74"/>
      <w:bookmarkEnd w:id="75"/>
      <w:bookmarkEnd w:id="76"/>
      <w:bookmarkEnd w:id="77"/>
      <w:r>
        <w:rPr>
          <w:rFonts w:hint="eastAsia"/>
          <w:b w:val="0"/>
        </w:rPr>
        <w:t>的基本要求</w:t>
      </w:r>
      <w:bookmarkEnd w:id="78"/>
    </w:p>
    <w:p>
      <w:pPr>
        <w:pStyle w:val="8"/>
        <w:keepNext w:val="0"/>
        <w:keepLines w:val="0"/>
        <w:adjustRightInd w:val="0"/>
        <w:snapToGrid w:val="0"/>
        <w:ind w:firstLine="560" w:firstLineChars="200"/>
        <w:rPr>
          <w:rFonts w:ascii="黑体" w:hAnsi="黑体"/>
          <w:b w:val="0"/>
        </w:rPr>
      </w:pPr>
      <w:bookmarkStart w:id="79" w:name="_Toc10966"/>
      <w:bookmarkStart w:id="80" w:name="_Toc31638"/>
      <w:bookmarkStart w:id="81" w:name="_Toc16024"/>
      <w:bookmarkStart w:id="82" w:name="_Toc8007"/>
      <w:r>
        <w:rPr>
          <w:rFonts w:hint="eastAsia" w:ascii="黑体" w:hAnsi="黑体"/>
          <w:b w:val="0"/>
        </w:rPr>
        <w:t>11.</w:t>
      </w:r>
      <w:bookmarkEnd w:id="79"/>
      <w:bookmarkEnd w:id="80"/>
      <w:bookmarkEnd w:id="81"/>
      <w:bookmarkEnd w:id="82"/>
      <w:r>
        <w:rPr>
          <w:rFonts w:hint="eastAsia" w:ascii="黑体" w:hAnsi="黑体"/>
          <w:b w:val="0"/>
        </w:rPr>
        <w:t>编制要求</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11.1投标供应商应当仔细阅读招标文件，在完全了解全部内容后，依法真实编制投标文件。</w:t>
      </w:r>
    </w:p>
    <w:p>
      <w:pPr>
        <w:pStyle w:val="8"/>
        <w:keepNext w:val="0"/>
        <w:keepLines w:val="0"/>
        <w:adjustRightInd w:val="0"/>
        <w:snapToGrid w:val="0"/>
        <w:ind w:firstLine="560" w:firstLineChars="200"/>
        <w:rPr>
          <w:rFonts w:hint="eastAsia" w:ascii="黑体" w:hAnsi="黑体"/>
          <w:b w:val="0"/>
        </w:rPr>
      </w:pPr>
      <w:bookmarkStart w:id="83" w:name="_Toc25199"/>
      <w:bookmarkStart w:id="84" w:name="_Toc9124"/>
      <w:bookmarkStart w:id="85" w:name="_Toc1819"/>
      <w:bookmarkStart w:id="86" w:name="_Toc32710"/>
      <w:r>
        <w:rPr>
          <w:rFonts w:hint="eastAsia" w:ascii="黑体" w:hAnsi="黑体"/>
          <w:b w:val="0"/>
        </w:rPr>
        <w:t>12.投标文件的语言及计量单位</w:t>
      </w:r>
      <w:bookmarkEnd w:id="83"/>
      <w:bookmarkEnd w:id="84"/>
      <w:bookmarkEnd w:id="85"/>
      <w:bookmarkEnd w:id="86"/>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12.1投标文件和</w:t>
      </w:r>
      <w:r>
        <w:rPr>
          <w:rFonts w:hint="eastAsia"/>
          <w:bCs/>
          <w:snapToGrid w:val="0"/>
          <w:sz w:val="28"/>
          <w:szCs w:val="28"/>
          <w:lang w:val="zh-CN"/>
        </w:rPr>
        <w:t>投标供应商与采购机构就有关投标的</w:t>
      </w:r>
      <w:r>
        <w:rPr>
          <w:rFonts w:hint="eastAsia" w:ascii="宋体" w:hAnsi="宋体"/>
          <w:bCs/>
          <w:sz w:val="28"/>
          <w:szCs w:val="28"/>
          <w:lang w:val="zh-CN"/>
        </w:rPr>
        <w:t>来往信函均以中文书写。确有需要时，可以提供使用其他语言书写的相关材料，但</w:t>
      </w:r>
      <w:bookmarkStart w:id="87" w:name="_Hlk130370619"/>
      <w:r>
        <w:rPr>
          <w:rFonts w:hint="eastAsia" w:ascii="黑体" w:hAnsi="黑体" w:eastAsia="黑体"/>
          <w:bCs/>
          <w:sz w:val="28"/>
          <w:szCs w:val="28"/>
          <w:lang w:val="zh-CN"/>
        </w:rPr>
        <w:t>应当</w:t>
      </w:r>
      <w:bookmarkEnd w:id="87"/>
      <w:r>
        <w:rPr>
          <w:rFonts w:hint="eastAsia" w:ascii="黑体" w:hAnsi="黑体" w:eastAsia="黑体"/>
          <w:bCs/>
          <w:sz w:val="28"/>
          <w:szCs w:val="28"/>
          <w:lang w:val="zh-CN"/>
        </w:rPr>
        <w:t>同时提供能够准确表达原文原意的中文译文</w:t>
      </w:r>
      <w:r>
        <w:rPr>
          <w:rFonts w:hint="eastAsia" w:ascii="宋体" w:hAnsi="宋体"/>
          <w:bCs/>
          <w:sz w:val="28"/>
          <w:szCs w:val="28"/>
          <w:lang w:val="zh-CN"/>
        </w:rPr>
        <w:t>，原文与中文译文的解释发生异议的，一般以中文译文为准；采购机构或评审委员会认为属于明显翻译错误的，以原文为准。</w:t>
      </w:r>
      <w:r>
        <w:rPr>
          <w:rFonts w:hint="eastAsia" w:ascii="宋体" w:hAnsi="宋体"/>
          <w:bCs/>
          <w:sz w:val="28"/>
          <w:szCs w:val="28"/>
        </w:rPr>
        <w:t>未提供中文译文的，该文本无效。</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12.2投标文件中所使用的计量单位，除投标文件中有特殊要求外，均采用中华人民共和国法定计量单位</w:t>
      </w:r>
      <w:r>
        <w:rPr>
          <w:rFonts w:hint="eastAsia" w:ascii="宋体" w:hAnsi="宋体"/>
          <w:bCs/>
          <w:sz w:val="28"/>
          <w:szCs w:val="28"/>
        </w:rPr>
        <w:t>。</w:t>
      </w:r>
    </w:p>
    <w:p>
      <w:pPr>
        <w:pStyle w:val="8"/>
        <w:keepNext w:val="0"/>
        <w:keepLines w:val="0"/>
        <w:adjustRightInd w:val="0"/>
        <w:snapToGrid w:val="0"/>
        <w:ind w:firstLine="560" w:firstLineChars="200"/>
        <w:rPr>
          <w:rFonts w:hint="eastAsia" w:ascii="黑体" w:hAnsi="黑体"/>
          <w:b w:val="0"/>
        </w:rPr>
      </w:pPr>
      <w:bookmarkStart w:id="88" w:name="_Toc7726"/>
      <w:bookmarkStart w:id="89" w:name="_Toc18518"/>
      <w:bookmarkStart w:id="90" w:name="_Toc22392"/>
      <w:bookmarkStart w:id="91" w:name="_Toc14932"/>
      <w:r>
        <w:rPr>
          <w:rFonts w:hint="eastAsia" w:ascii="黑体" w:hAnsi="黑体"/>
          <w:b w:val="0"/>
        </w:rPr>
        <w:t>13.投标文件组成</w:t>
      </w:r>
      <w:bookmarkEnd w:id="88"/>
      <w:bookmarkEnd w:id="89"/>
      <w:bookmarkEnd w:id="90"/>
      <w:bookmarkEnd w:id="91"/>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13.1投标文件一般由</w:t>
      </w:r>
      <w:bookmarkStart w:id="92" w:name="_Hlk112504983"/>
      <w:r>
        <w:rPr>
          <w:rFonts w:hint="eastAsia" w:ascii="黑体" w:hAnsi="黑体" w:eastAsia="黑体"/>
          <w:bCs/>
          <w:sz w:val="28"/>
          <w:szCs w:val="28"/>
          <w:lang w:val="zh-CN"/>
        </w:rPr>
        <w:t>价格文件、</w:t>
      </w:r>
      <w:bookmarkStart w:id="93" w:name="_Hlk112353436"/>
      <w:r>
        <w:rPr>
          <w:rFonts w:hint="eastAsia" w:ascii="黑体" w:hAnsi="黑体" w:eastAsia="黑体"/>
          <w:bCs/>
          <w:sz w:val="28"/>
          <w:szCs w:val="28"/>
          <w:lang w:val="zh-CN"/>
        </w:rPr>
        <w:t>商务技术</w:t>
      </w:r>
      <w:bookmarkEnd w:id="93"/>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三部分组成。每部分应当分别编制目录，具体要求详见第三章投标文件内容及格式。</w:t>
      </w:r>
    </w:p>
    <w:bookmarkEnd w:id="92"/>
    <w:p>
      <w:pPr>
        <w:pStyle w:val="8"/>
        <w:keepNext w:val="0"/>
        <w:keepLines w:val="0"/>
        <w:adjustRightInd w:val="0"/>
        <w:snapToGrid w:val="0"/>
        <w:ind w:firstLine="560" w:firstLineChars="200"/>
        <w:rPr>
          <w:rFonts w:hint="eastAsia" w:ascii="黑体" w:hAnsi="黑体"/>
          <w:b w:val="0"/>
        </w:rPr>
      </w:pPr>
      <w:bookmarkStart w:id="94" w:name="_Toc19972"/>
      <w:bookmarkStart w:id="95" w:name="_Toc19507"/>
      <w:bookmarkStart w:id="96" w:name="_Toc24457"/>
      <w:bookmarkStart w:id="97" w:name="_Toc21237"/>
      <w:r>
        <w:rPr>
          <w:rFonts w:hint="eastAsia" w:ascii="黑体" w:hAnsi="黑体"/>
          <w:b w:val="0"/>
        </w:rPr>
        <w:t>14.投标文件的编制</w:t>
      </w:r>
      <w:bookmarkEnd w:id="94"/>
      <w:bookmarkEnd w:id="95"/>
      <w:bookmarkEnd w:id="96"/>
      <w:bookmarkEnd w:id="97"/>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14.1投标供应商应当按招标文件第13.1条的内容与要求和第三章明确的格式编制投标文件。</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14.2投标文件应当工整、规范、统一、清晰，采用A4幅面纸打印，页面不可抽取，不得有活页。商务技术文件和资格证明文件应当胶装成册；价格文件纸张在10张以上的也应当胶装成册，不足10张的应当装订或胶装成册。</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14.3投标文件应当打印或用黑色、蓝黑色墨水填写。</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14.4开标一览表表格应当按照规定的要素填写，其中：</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（1）表格各列不得自行增减，不得调整顺序。</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w:t>
      </w:r>
      <w:bookmarkStart w:id="98" w:name="_Hlk130370840"/>
      <w:r>
        <w:rPr>
          <w:rFonts w:hint="eastAsia" w:ascii="宋体" w:hAnsi="宋体"/>
          <w:bCs/>
          <w:sz w:val="28"/>
          <w:szCs w:val="28"/>
          <w:lang w:val="zh-CN"/>
        </w:rPr>
        <w:t>招标文件</w:t>
      </w:r>
      <w:bookmarkEnd w:id="98"/>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（3）单元格内容相同的，可以合并。</w:t>
      </w:r>
    </w:p>
    <w:p>
      <w:pPr>
        <w:pStyle w:val="20"/>
        <w:spacing w:line="560" w:lineRule="exact"/>
        <w:ind w:firstLine="560" w:firstLineChars="200"/>
        <w:rPr>
          <w:rFonts w:hint="eastAsia" w:ascii="宋体" w:hAnsi="宋体"/>
          <w:sz w:val="28"/>
          <w:szCs w:val="28"/>
          <w:lang w:val="zh-CN"/>
        </w:rPr>
      </w:pPr>
      <w:r>
        <w:rPr>
          <w:rFonts w:hint="eastAsia" w:ascii="宋体" w:hAnsi="宋体"/>
          <w:sz w:val="28"/>
          <w:szCs w:val="28"/>
          <w:lang w:val="zh-CN"/>
        </w:rPr>
        <w:t>（4）不得增加附件。</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14.5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14.6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14.7投标文件正本应当加盖骑缝章</w:t>
      </w:r>
      <w:bookmarkStart w:id="99" w:name="_Hlk130371190"/>
      <w:r>
        <w:rPr>
          <w:rFonts w:hint="eastAsia" w:ascii="宋体" w:hAnsi="宋体"/>
          <w:bCs/>
          <w:sz w:val="28"/>
          <w:szCs w:val="28"/>
          <w:lang w:val="zh-CN"/>
        </w:rPr>
        <w:t>（每页均加盖公章的，可以不盖骑缝章）</w:t>
      </w:r>
      <w:bookmarkEnd w:id="99"/>
      <w:r>
        <w:rPr>
          <w:rFonts w:hint="eastAsia" w:ascii="宋体" w:hAnsi="宋体"/>
          <w:bCs/>
          <w:sz w:val="28"/>
          <w:szCs w:val="28"/>
          <w:lang w:val="zh-CN"/>
        </w:rPr>
        <w:t>，不得随意涂改和增删。如有修改错漏之处，应当由法定代表人或授权代表签字。</w:t>
      </w:r>
    </w:p>
    <w:p>
      <w:pPr>
        <w:pStyle w:val="8"/>
        <w:keepNext w:val="0"/>
        <w:keepLines w:val="0"/>
        <w:adjustRightInd w:val="0"/>
        <w:snapToGrid w:val="0"/>
        <w:ind w:firstLine="560" w:firstLineChars="200"/>
        <w:rPr>
          <w:rFonts w:hint="eastAsia" w:ascii="黑体" w:hAnsi="黑体"/>
          <w:b w:val="0"/>
        </w:rPr>
      </w:pPr>
      <w:bookmarkStart w:id="100" w:name="_Toc18347"/>
      <w:bookmarkStart w:id="101" w:name="_Toc23265"/>
      <w:bookmarkStart w:id="102" w:name="_Toc14720"/>
      <w:bookmarkStart w:id="103" w:name="_Toc15503"/>
      <w:r>
        <w:rPr>
          <w:rFonts w:hint="eastAsia" w:ascii="黑体" w:hAnsi="黑体"/>
          <w:b w:val="0"/>
        </w:rPr>
        <w:t>15.投标有效期</w:t>
      </w:r>
      <w:bookmarkEnd w:id="100"/>
      <w:bookmarkEnd w:id="101"/>
      <w:bookmarkEnd w:id="102"/>
      <w:bookmarkEnd w:id="103"/>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15.1投标有效期从提交投标文件的截止之日起算。投标文件中承诺的投标有效期应当不少于【投标供应商须知前附表】中载明的投标有效期，否则视为无效投标。</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得修改投标文件。</w:t>
      </w:r>
    </w:p>
    <w:p>
      <w:pPr>
        <w:pStyle w:val="8"/>
        <w:keepNext w:val="0"/>
        <w:keepLines w:val="0"/>
        <w:adjustRightInd w:val="0"/>
        <w:snapToGrid w:val="0"/>
        <w:ind w:firstLine="560" w:firstLineChars="200"/>
        <w:rPr>
          <w:rFonts w:hint="eastAsia" w:ascii="黑体" w:hAnsi="黑体"/>
          <w:b w:val="0"/>
        </w:rPr>
      </w:pPr>
      <w:bookmarkStart w:id="104" w:name="_Toc11462"/>
      <w:bookmarkStart w:id="105" w:name="_Toc16961"/>
      <w:bookmarkStart w:id="106" w:name="_Toc3489"/>
      <w:bookmarkStart w:id="107" w:name="_Toc14212"/>
      <w:r>
        <w:rPr>
          <w:rFonts w:hint="eastAsia" w:ascii="黑体" w:hAnsi="黑体"/>
          <w:b w:val="0"/>
        </w:rPr>
        <w:t>16.投标报价</w:t>
      </w:r>
      <w:bookmarkEnd w:id="104"/>
      <w:bookmarkEnd w:id="105"/>
      <w:bookmarkEnd w:id="106"/>
      <w:bookmarkEnd w:id="107"/>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16.1所有报价均以人民币为货币单位</w:t>
      </w:r>
      <w:r>
        <w:rPr>
          <w:rFonts w:hint="eastAsia" w:ascii="宋体" w:hAnsi="宋体"/>
          <w:bCs/>
          <w:sz w:val="28"/>
          <w:szCs w:val="28"/>
        </w:rPr>
        <w:t>。</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16.2所有单价和总价按照开标一览表格式要求填报。</w:t>
      </w:r>
      <w:r>
        <w:rPr>
          <w:rFonts w:hint="eastAsia" w:ascii="宋体" w:hAnsi="宋体"/>
          <w:bCs/>
          <w:snapToGrid w:val="0"/>
          <w:sz w:val="28"/>
          <w:szCs w:val="28"/>
          <w:lang w:val="zh-CN"/>
        </w:rPr>
        <w:t>报价应当包括货款、标准附件、备品备件、专用工具、包装、安装、调试、培训、保修等费用和税金。</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16.3投标供应商</w:t>
      </w:r>
      <w:r>
        <w:rPr>
          <w:rFonts w:hint="eastAsia" w:ascii="宋体" w:hAnsi="宋体"/>
          <w:bCs/>
          <w:sz w:val="28"/>
          <w:szCs w:val="28"/>
        </w:rPr>
        <w:t>对同一种物资只允许有唯一报价，任何有选择的报价或有附加条件的报价，视为无效投标。</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16.4投标报价的其他要求见【投标供应商须知前附表】。</w:t>
      </w:r>
    </w:p>
    <w:p>
      <w:pPr>
        <w:pStyle w:val="8"/>
        <w:keepNext w:val="0"/>
        <w:keepLines w:val="0"/>
        <w:adjustRightInd w:val="0"/>
        <w:snapToGrid w:val="0"/>
        <w:ind w:firstLine="560" w:firstLineChars="200"/>
        <w:rPr>
          <w:rFonts w:hint="eastAsia" w:ascii="黑体" w:hAnsi="黑体"/>
          <w:b w:val="0"/>
        </w:rPr>
      </w:pPr>
      <w:bookmarkStart w:id="108" w:name="_Toc28896"/>
      <w:bookmarkStart w:id="109" w:name="_Toc5641"/>
      <w:bookmarkStart w:id="110" w:name="_Toc10177"/>
      <w:bookmarkStart w:id="111" w:name="_Toc9609"/>
      <w:r>
        <w:rPr>
          <w:rFonts w:hint="eastAsia" w:ascii="黑体" w:hAnsi="黑体"/>
          <w:b w:val="0"/>
        </w:rPr>
        <w:t>17.投标保证金</w:t>
      </w:r>
      <w:bookmarkEnd w:id="108"/>
      <w:bookmarkEnd w:id="109"/>
      <w:bookmarkEnd w:id="110"/>
      <w:bookmarkEnd w:id="111"/>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17.1投标保证金金额、账号及缴纳截止时间见【投标供应商须知前附表】。</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rPr>
        <w:t>17.2投标</w:t>
      </w:r>
      <w:r>
        <w:rPr>
          <w:rFonts w:hint="eastAsia" w:ascii="宋体" w:hAnsi="宋体"/>
          <w:bCs/>
          <w:sz w:val="28"/>
          <w:szCs w:val="28"/>
          <w:lang w:val="zh-CN"/>
        </w:rPr>
        <w:t>保证金</w:t>
      </w:r>
      <w:bookmarkStart w:id="112" w:name="_Hlk130371222"/>
      <w:r>
        <w:rPr>
          <w:rFonts w:hint="eastAsia" w:ascii="宋体" w:hAnsi="宋体"/>
          <w:bCs/>
          <w:sz w:val="28"/>
          <w:szCs w:val="28"/>
          <w:lang w:val="zh-CN"/>
        </w:rPr>
        <w:t>应当</w:t>
      </w:r>
      <w:bookmarkEnd w:id="112"/>
      <w:r>
        <w:rPr>
          <w:rFonts w:hint="eastAsia" w:ascii="宋体" w:hAnsi="宋体"/>
          <w:bCs/>
          <w:sz w:val="28"/>
          <w:szCs w:val="28"/>
          <w:lang w:val="zh-CN"/>
        </w:rPr>
        <w:t>采取非现金方式缴纳</w:t>
      </w:r>
      <w:bookmarkStart w:id="113" w:name="_Hlk130371231"/>
      <w:r>
        <w:rPr>
          <w:rFonts w:hint="eastAsia" w:ascii="宋体" w:hAnsi="宋体"/>
          <w:bCs/>
          <w:sz w:val="28"/>
          <w:szCs w:val="28"/>
          <w:lang w:val="zh-CN"/>
        </w:rPr>
        <w:t>。采取汇款方式缴纳的，</w:t>
      </w:r>
      <w:bookmarkEnd w:id="113"/>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银行保函方式缴纳的，应当提供1份银行保函原件，投标时单独提交。</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17.3</w:t>
      </w:r>
      <w:r>
        <w:rPr>
          <w:rFonts w:hint="eastAsia"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17.4有下列情况之一的，投标保证金将不予退还：</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（1）开标后投标供应商在投标有效期内撤回其投标文件的；</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（2）投标供应商干扰开标或评标活动，造成严重影响和后果的；</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（3）虚假投标或串通投标的；</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（4）中标（预中标）供应商无正当理由放弃中标的；</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（5）</w:t>
      </w:r>
      <w:bookmarkStart w:id="114"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14"/>
      <w:r>
        <w:rPr>
          <w:rFonts w:hint="eastAsia" w:ascii="宋体" w:hAnsi="宋体"/>
          <w:bCs/>
          <w:sz w:val="28"/>
          <w:szCs w:val="28"/>
        </w:rPr>
        <w:t>；</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（6）其他违反国家和军队法律法规行为的。</w:t>
      </w:r>
      <w:bookmarkStart w:id="115" w:name="_Toc112317770"/>
    </w:p>
    <w:p>
      <w:pPr>
        <w:pStyle w:val="7"/>
        <w:keepNext w:val="0"/>
        <w:keepLines w:val="0"/>
        <w:numPr>
          <w:ilvl w:val="2"/>
          <w:numId w:val="0"/>
        </w:numPr>
        <w:tabs>
          <w:tab w:val="clear" w:pos="1820"/>
        </w:tabs>
        <w:adjustRightInd w:val="0"/>
        <w:snapToGrid w:val="0"/>
        <w:spacing w:before="120" w:beforeLines="50" w:after="120" w:afterLines="50" w:line="560" w:lineRule="exact"/>
        <w:ind w:leftChars="0"/>
        <w:jc w:val="center"/>
        <w:rPr>
          <w:rFonts w:hint="eastAsia" w:ascii="Times New Roman" w:hAnsi="Times New Roman"/>
          <w:b w:val="0"/>
        </w:rPr>
      </w:pPr>
      <w:bookmarkStart w:id="116" w:name="_Toc23111"/>
      <w:bookmarkStart w:id="117" w:name="_Toc29835"/>
      <w:bookmarkStart w:id="118" w:name="_Toc21788"/>
      <w:bookmarkStart w:id="119" w:name="_Toc132190599"/>
      <w:bookmarkStart w:id="120" w:name="_Toc9861"/>
      <w:r>
        <w:rPr>
          <w:rFonts w:hint="eastAsia"/>
          <w:b w:val="0"/>
        </w:rPr>
        <w:t>四、投标文件提交</w:t>
      </w:r>
      <w:bookmarkEnd w:id="115"/>
      <w:bookmarkEnd w:id="116"/>
      <w:bookmarkEnd w:id="117"/>
      <w:bookmarkEnd w:id="118"/>
      <w:bookmarkEnd w:id="119"/>
      <w:bookmarkEnd w:id="120"/>
    </w:p>
    <w:p>
      <w:pPr>
        <w:pStyle w:val="8"/>
        <w:keepNext w:val="0"/>
        <w:keepLines w:val="0"/>
        <w:adjustRightInd w:val="0"/>
        <w:snapToGrid w:val="0"/>
        <w:ind w:firstLine="560" w:firstLineChars="200"/>
        <w:rPr>
          <w:rFonts w:ascii="黑体" w:hAnsi="黑体"/>
          <w:b w:val="0"/>
        </w:rPr>
      </w:pPr>
      <w:bookmarkStart w:id="121" w:name="_Toc11049"/>
      <w:bookmarkStart w:id="122" w:name="_Toc23336"/>
      <w:bookmarkStart w:id="123" w:name="_Toc30431"/>
      <w:bookmarkStart w:id="124" w:name="_Toc23560"/>
      <w:r>
        <w:rPr>
          <w:rFonts w:hint="eastAsia" w:ascii="黑体" w:hAnsi="黑体"/>
          <w:b w:val="0"/>
        </w:rPr>
        <w:t>18.投标文件密封及标记</w:t>
      </w:r>
      <w:bookmarkEnd w:id="121"/>
      <w:bookmarkEnd w:id="122"/>
      <w:bookmarkEnd w:id="123"/>
      <w:bookmarkEnd w:id="124"/>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18.1投标文件中“价格文件”应当与“商务技术文件”和“资格证明文件”分开，单独密封包装，并在封套的封口处加盖投标供应商公章。</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18.2投标文件封套上应当写明项目名称、项目编号、所投包号、投标供应商名称，以及“价格文件”“商务技术文件”或“资格证明文件”和“开标时启封”字样。</w:t>
      </w:r>
    </w:p>
    <w:p>
      <w:pPr>
        <w:pStyle w:val="20"/>
        <w:spacing w:line="560" w:lineRule="exact"/>
        <w:ind w:firstLine="560" w:firstLineChars="200"/>
        <w:rPr>
          <w:rFonts w:hint="eastAsia"/>
        </w:rPr>
      </w:pPr>
      <w:r>
        <w:rPr>
          <w:rFonts w:hint="eastAsia" w:ascii="宋体" w:hAnsi="宋体"/>
          <w:bCs/>
          <w:sz w:val="28"/>
          <w:szCs w:val="28"/>
        </w:rPr>
        <w:t>18.3评审方法为质量优先法的，开标一览表分为“开标一览表（不含价格）”和“开标一览表（含价格）”两部分，“开标一览表（不含价格）”应当单独密封包装，在封面注明“开标一览表（不含价格）”字样。其他要求同第18.1条和第18.2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明确的提交投标文件截止时间前，将投标文件送达采购机构指定地点。</w:t>
      </w:r>
      <w:bookmarkStart w:id="125" w:name="_Hlk112260229"/>
      <w:r>
        <w:rPr>
          <w:rFonts w:hint="eastAsia" w:ascii="宋体" w:hAnsi="宋体"/>
          <w:bCs/>
          <w:sz w:val="28"/>
          <w:szCs w:val="28"/>
        </w:rPr>
        <w:t>逾期提交的投标文件，采购机构将拒收</w:t>
      </w:r>
      <w:bookmarkEnd w:id="125"/>
      <w:r>
        <w:rPr>
          <w:rFonts w:hint="eastAsia" w:ascii="宋体" w:hAnsi="宋体"/>
          <w:bCs/>
          <w:sz w:val="28"/>
          <w:szCs w:val="28"/>
        </w:rPr>
        <w:t>。</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18.5电报、电话、电传、邮寄等形式的投标文件概不接收。</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18.6投标文件未按要求密封、标记的，采购机构将拒收。</w:t>
      </w:r>
    </w:p>
    <w:p>
      <w:pPr>
        <w:pStyle w:val="8"/>
        <w:keepNext w:val="0"/>
        <w:keepLines w:val="0"/>
        <w:adjustRightInd w:val="0"/>
        <w:snapToGrid w:val="0"/>
        <w:ind w:firstLine="560" w:firstLineChars="200"/>
        <w:rPr>
          <w:rFonts w:hint="eastAsia" w:ascii="黑体" w:hAnsi="黑体"/>
          <w:b w:val="0"/>
        </w:rPr>
      </w:pPr>
      <w:bookmarkStart w:id="126" w:name="_Toc27185"/>
      <w:bookmarkStart w:id="127" w:name="_Toc8208"/>
      <w:bookmarkStart w:id="128" w:name="_Toc12761"/>
      <w:bookmarkStart w:id="129" w:name="_Toc16058"/>
      <w:r>
        <w:rPr>
          <w:rFonts w:hint="eastAsia" w:ascii="黑体" w:hAnsi="黑体"/>
          <w:b w:val="0"/>
        </w:rPr>
        <w:t>19.投标文件的修改和撤回</w:t>
      </w:r>
      <w:bookmarkEnd w:id="126"/>
      <w:bookmarkEnd w:id="127"/>
      <w:bookmarkEnd w:id="128"/>
      <w:bookmarkEnd w:id="129"/>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19.1投标供应商在投标截止时间前，可以对提交的投标文件进行补充、修改或撤回，补充或修改的内容应当以书面形式提交采购机构，并按照招标文件要求签字盖章，作为投标文件的组成部分。</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19.2</w:t>
      </w:r>
      <w:r>
        <w:rPr>
          <w:rFonts w:hint="eastAsia" w:ascii="宋体" w:hAnsi="宋体"/>
          <w:bCs/>
          <w:sz w:val="28"/>
          <w:szCs w:val="28"/>
        </w:rPr>
        <w:t>投标截止时间后，</w:t>
      </w:r>
      <w:r>
        <w:rPr>
          <w:rFonts w:hint="eastAsia" w:ascii="宋体" w:hAnsi="宋体"/>
          <w:bCs/>
          <w:sz w:val="28"/>
          <w:szCs w:val="28"/>
          <w:lang w:val="zh-CN"/>
        </w:rPr>
        <w:t>采购机构不接受对投标文件内容的实质性修改。</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19.3投标供应商修改投标文件的书面材料，</w:t>
      </w:r>
      <w:r>
        <w:rPr>
          <w:rFonts w:hint="eastAsia" w:ascii="宋体" w:hAnsi="宋体"/>
          <w:bCs/>
          <w:sz w:val="28"/>
          <w:szCs w:val="28"/>
        </w:rPr>
        <w:t>应当密封送达投标地点，并在封面上标明项目名称、项目编号、投标供应商名称和“投标修改文件”“开标时启封”字样。</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19.4投标供应商撤回投标应当以书面形式通知采购机构。采取电报或传真形式撤回投标的，应当补充法定代表人或授权代表签字的撤回投标的正式文件。撤回投标的时间以投标供应商的书面撤回通知送达采购机构时间为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19.5开标后，投标供应商不得撤回投标，否则投标保证金不予退还。</w:t>
      </w:r>
      <w:bookmarkStart w:id="130" w:name="_Toc112317771"/>
    </w:p>
    <w:p>
      <w:pPr>
        <w:pStyle w:val="7"/>
        <w:keepNext w:val="0"/>
        <w:keepLines w:val="0"/>
        <w:numPr>
          <w:ilvl w:val="2"/>
          <w:numId w:val="0"/>
        </w:numPr>
        <w:tabs>
          <w:tab w:val="clear" w:pos="1820"/>
        </w:tabs>
        <w:adjustRightInd w:val="0"/>
        <w:snapToGrid w:val="0"/>
        <w:spacing w:before="120" w:beforeLines="50" w:after="120" w:afterLines="50" w:line="560" w:lineRule="exact"/>
        <w:ind w:leftChars="0"/>
        <w:jc w:val="center"/>
        <w:rPr>
          <w:rFonts w:hint="eastAsia" w:ascii="Times New Roman" w:hAnsi="Times New Roman"/>
          <w:b w:val="0"/>
        </w:rPr>
      </w:pPr>
      <w:bookmarkStart w:id="131" w:name="_Toc15835"/>
      <w:bookmarkStart w:id="132" w:name="_Toc14016"/>
      <w:bookmarkStart w:id="133" w:name="_Toc19755"/>
      <w:bookmarkStart w:id="134" w:name="_Toc757"/>
      <w:bookmarkStart w:id="135" w:name="_Toc132190600"/>
      <w:r>
        <w:rPr>
          <w:rFonts w:hint="eastAsia"/>
          <w:b w:val="0"/>
        </w:rPr>
        <w:t>五、开标与评标</w:t>
      </w:r>
      <w:bookmarkEnd w:id="130"/>
      <w:bookmarkEnd w:id="131"/>
      <w:bookmarkEnd w:id="132"/>
      <w:bookmarkEnd w:id="133"/>
      <w:bookmarkEnd w:id="134"/>
      <w:bookmarkEnd w:id="135"/>
    </w:p>
    <w:p>
      <w:pPr>
        <w:pStyle w:val="8"/>
        <w:keepNext w:val="0"/>
        <w:keepLines w:val="0"/>
        <w:adjustRightInd w:val="0"/>
        <w:snapToGrid w:val="0"/>
        <w:ind w:firstLine="560" w:firstLineChars="200"/>
        <w:rPr>
          <w:rFonts w:ascii="黑体" w:hAnsi="黑体"/>
          <w:b w:val="0"/>
        </w:rPr>
      </w:pPr>
      <w:bookmarkStart w:id="136" w:name="_Toc6783"/>
      <w:bookmarkStart w:id="137" w:name="_Toc14656"/>
      <w:bookmarkStart w:id="138" w:name="_Toc20058"/>
      <w:bookmarkStart w:id="139" w:name="_Toc28475"/>
      <w:r>
        <w:rPr>
          <w:rFonts w:hint="eastAsia" w:ascii="黑体" w:hAnsi="黑体"/>
          <w:b w:val="0"/>
        </w:rPr>
        <w:t>20.开标</w:t>
      </w:r>
      <w:bookmarkEnd w:id="136"/>
      <w:bookmarkEnd w:id="137"/>
      <w:bookmarkEnd w:id="138"/>
      <w:bookmarkEnd w:id="139"/>
    </w:p>
    <w:p>
      <w:pPr>
        <w:tabs>
          <w:tab w:val="left" w:pos="1020"/>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20.1成功提交投标文件的投标供应商不足3家的，一般不得组织开标，满足第20.4条情形的除外。采购机构按</w:t>
      </w:r>
      <w:r>
        <w:rPr>
          <w:rFonts w:hint="eastAsia" w:ascii="宋体" w:hAnsi="宋体"/>
          <w:bCs/>
          <w:sz w:val="28"/>
          <w:szCs w:val="28"/>
          <w:lang w:val="zh-CN"/>
        </w:rPr>
        <w:t>【投标供应商须知前附表】</w:t>
      </w:r>
      <w:r>
        <w:rPr>
          <w:rFonts w:hint="eastAsia" w:ascii="宋体" w:hAnsi="宋体"/>
          <w:bCs/>
          <w:sz w:val="28"/>
          <w:szCs w:val="28"/>
        </w:rPr>
        <w:t>明确的时间、地点组织开标，投标供应商和有关方面代表参加。评审委员会成员不得参加开标大会。</w:t>
      </w:r>
    </w:p>
    <w:p>
      <w:pPr>
        <w:tabs>
          <w:tab w:val="left" w:pos="1020"/>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20.2开标时，由投标供应商或其推选的代表检查所有投标文件的密封情况并当场公布检查结果。经确认无误后，当众</w:t>
      </w:r>
      <w:bookmarkStart w:id="140" w:name="_Hlk112507062"/>
      <w:r>
        <w:rPr>
          <w:rFonts w:hint="eastAsia" w:ascii="宋体" w:hAnsi="宋体"/>
          <w:bCs/>
          <w:sz w:val="28"/>
          <w:szCs w:val="28"/>
        </w:rPr>
        <w:t>拆封</w:t>
      </w:r>
      <w:bookmarkEnd w:id="140"/>
      <w:r>
        <w:rPr>
          <w:rFonts w:hint="eastAsia" w:ascii="宋体" w:hAnsi="宋体"/>
          <w:bCs/>
          <w:sz w:val="28"/>
          <w:szCs w:val="28"/>
        </w:rPr>
        <w:t>投标文件，宣读价格文件中“开标一览表”的全部内容，开标未宣读的投标报价信息无效。</w:t>
      </w:r>
    </w:p>
    <w:p>
      <w:pPr>
        <w:tabs>
          <w:tab w:val="left" w:pos="1020"/>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20.3投标供应商对开标过程有异议的，应当在开标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20.4投标供应商或通过资格性、符合性审查的投标供应商只有2家且预算金额在500万元以下项目，或重新组织采购仍只有2家投标供应商响应的项目，采购机构应当组织评审委员会成员对招标文件进行论证，并根据论证情况按照以下方式处理：</w:t>
      </w:r>
    </w:p>
    <w:p>
      <w:pPr>
        <w:adjustRightInd w:val="0"/>
        <w:snapToGrid w:val="0"/>
        <w:spacing w:line="560" w:lineRule="exact"/>
        <w:ind w:firstLine="560" w:firstLineChars="200"/>
        <w:rPr>
          <w:rFonts w:hint="eastAsia"/>
          <w:sz w:val="21"/>
        </w:rPr>
      </w:pPr>
      <w:r>
        <w:rPr>
          <w:rFonts w:hint="eastAsia" w:ascii="宋体" w:hAnsi="宋体"/>
          <w:bCs/>
          <w:sz w:val="28"/>
          <w:szCs w:val="28"/>
        </w:rPr>
        <w:t>（1）评审委员会认为招标文件无倾向性或排他性条款，供应商选择程序合规的，采购机构可以重新招标，也可以由采购机构报上级采购管理部门批准，并经采购单位同意后，在不变更投标供应商资格条件和采购需求的前提下与这两家供应商进行竞争性谈判，按照原评审办法进行评审。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pPr>
        <w:adjustRightInd w:val="0"/>
        <w:snapToGrid w:val="0"/>
        <w:spacing w:line="560" w:lineRule="exact"/>
        <w:ind w:firstLine="560" w:firstLineChars="200"/>
      </w:pPr>
      <w:r>
        <w:rPr>
          <w:rFonts w:hint="eastAsia" w:ascii="宋体" w:hAnsi="宋体"/>
          <w:bCs/>
          <w:sz w:val="28"/>
          <w:szCs w:val="28"/>
        </w:rPr>
        <w:t>（2）评审委员会认为招标文件存在不合理条款或招标程序不符合规定的，采购机构改正后依法重新招标。</w:t>
      </w:r>
    </w:p>
    <w:p>
      <w:pPr>
        <w:pStyle w:val="8"/>
        <w:keepNext w:val="0"/>
        <w:keepLines w:val="0"/>
        <w:adjustRightInd w:val="0"/>
        <w:snapToGrid w:val="0"/>
        <w:ind w:firstLine="560" w:firstLineChars="200"/>
        <w:rPr>
          <w:rFonts w:ascii="黑体" w:hAnsi="黑体"/>
          <w:b w:val="0"/>
        </w:rPr>
      </w:pPr>
      <w:bookmarkStart w:id="141" w:name="_Toc12233"/>
      <w:bookmarkStart w:id="142" w:name="_Toc26244"/>
      <w:bookmarkStart w:id="143" w:name="_Toc32061"/>
      <w:bookmarkStart w:id="144" w:name="_Toc30106"/>
      <w:r>
        <w:rPr>
          <w:rFonts w:hint="eastAsia" w:ascii="黑体" w:hAnsi="黑体"/>
          <w:b w:val="0"/>
        </w:rPr>
        <w:t>21.评审原则与方法</w:t>
      </w:r>
      <w:bookmarkEnd w:id="141"/>
      <w:bookmarkEnd w:id="142"/>
      <w:bookmarkEnd w:id="143"/>
      <w:bookmarkEnd w:id="144"/>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21.1评审原则</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（1）评审活动遵循公平、公正、科学和择优的原则。</w:t>
      </w:r>
    </w:p>
    <w:p>
      <w:pPr>
        <w:adjustRightInd w:val="0"/>
        <w:snapToGrid w:val="0"/>
        <w:spacing w:line="560" w:lineRule="exact"/>
        <w:ind w:firstLine="560" w:firstLineChars="200"/>
        <w:rPr>
          <w:rFonts w:hint="eastAsia"/>
          <w:bCs/>
          <w:sz w:val="28"/>
          <w:szCs w:val="28"/>
        </w:rPr>
      </w:pPr>
      <w:r>
        <w:rPr>
          <w:rFonts w:hint="eastAsia" w:ascii="宋体" w:hAnsi="宋体"/>
          <w:bCs/>
          <w:sz w:val="28"/>
          <w:szCs w:val="28"/>
        </w:rPr>
        <w:t>（2）严格依据招标文件规定的评审方法、程序和标准评审。不得以投票表决等形式修改招标文件规定的评审方法、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（3）对所有投标文件的评审依据和评审尺度保持一致。</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（4）对招标文件和投标文件的解释澄清，在不改变文件原义的前提下，应当以有利于投标供应商为原则。</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21.2评审方法</w:t>
      </w:r>
    </w:p>
    <w:p>
      <w:pPr>
        <w:adjustRightInd w:val="0"/>
        <w:snapToGrid w:val="0"/>
        <w:spacing w:line="560" w:lineRule="exact"/>
        <w:ind w:firstLine="560" w:firstLineChars="200"/>
        <w:rPr>
          <w:rFonts w:hint="eastAsia"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pPr>
        <w:spacing w:line="560" w:lineRule="exact"/>
        <w:ind w:firstLine="560" w:firstLineChars="200"/>
        <w:rPr>
          <w:rFonts w:hint="eastAsia" w:ascii="宋体" w:hAnsi="宋体"/>
          <w:bCs/>
          <w:sz w:val="28"/>
          <w:szCs w:val="28"/>
        </w:rPr>
      </w:pPr>
      <w:r>
        <w:rPr>
          <w:rFonts w:hint="eastAsia" w:ascii="宋体" w:hAnsi="宋体"/>
          <w:bCs/>
          <w:sz w:val="28"/>
          <w:szCs w:val="28"/>
        </w:rPr>
        <w:t>（1）综合评分法，是指投标文件满足招标文件资格性和符合性要求，将按照评审标准综合评审得分最高的投标供应商，作为预中标供应商的评审方法。采用百分制评分。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pPr>
        <w:spacing w:line="560" w:lineRule="exact"/>
        <w:ind w:firstLine="560" w:firstLineChars="200"/>
        <w:rPr>
          <w:rFonts w:hint="eastAsia"/>
          <w:sz w:val="21"/>
        </w:rPr>
      </w:pPr>
      <w:r>
        <w:rPr>
          <w:rFonts w:hint="eastAsia" w:ascii="宋体" w:hAnsi="宋体"/>
          <w:bCs/>
          <w:sz w:val="28"/>
          <w:szCs w:val="28"/>
        </w:rPr>
        <w:t>（3）经评审的最低价法，是指投标文件满足招标文件资格性和符合性要求，将报价最低的投标供应商，作为预中标供应商的评审方法。</w:t>
      </w:r>
    </w:p>
    <w:p>
      <w:pPr>
        <w:pStyle w:val="8"/>
        <w:keepNext w:val="0"/>
        <w:keepLines w:val="0"/>
        <w:adjustRightInd w:val="0"/>
        <w:snapToGrid w:val="0"/>
        <w:ind w:firstLine="560" w:firstLineChars="200"/>
        <w:rPr>
          <w:rFonts w:ascii="黑体" w:hAnsi="黑体"/>
          <w:b w:val="0"/>
        </w:rPr>
      </w:pPr>
      <w:bookmarkStart w:id="145" w:name="_Toc9920"/>
      <w:bookmarkStart w:id="146" w:name="_Toc13681"/>
      <w:bookmarkStart w:id="147" w:name="_Toc27886"/>
      <w:bookmarkStart w:id="148" w:name="_Toc10826"/>
      <w:r>
        <w:rPr>
          <w:rFonts w:hint="eastAsia" w:ascii="黑体" w:hAnsi="黑体"/>
          <w:b w:val="0"/>
        </w:rPr>
        <w:t>22.评审标准</w:t>
      </w:r>
      <w:bookmarkEnd w:id="145"/>
      <w:bookmarkEnd w:id="146"/>
      <w:bookmarkEnd w:id="147"/>
      <w:bookmarkEnd w:id="148"/>
    </w:p>
    <w:p>
      <w:pPr>
        <w:tabs>
          <w:tab w:val="left" w:pos="1020"/>
        </w:tabs>
        <w:adjustRightInd w:val="0"/>
        <w:snapToGrid w:val="0"/>
        <w:spacing w:line="560" w:lineRule="exact"/>
        <w:ind w:firstLine="574" w:firstLineChars="205"/>
        <w:rPr>
          <w:rFonts w:hint="eastAsia" w:ascii="宋体" w:hAnsi="宋体"/>
          <w:bCs/>
          <w:sz w:val="28"/>
          <w:szCs w:val="28"/>
        </w:rPr>
      </w:pPr>
      <w:r>
        <w:rPr>
          <w:rFonts w:hint="eastAsia" w:ascii="宋体" w:hAnsi="宋体"/>
          <w:bCs/>
          <w:sz w:val="28"/>
          <w:szCs w:val="28"/>
        </w:rPr>
        <w:t>22.1资格性审查标准，见</w:t>
      </w:r>
      <w:r>
        <w:rPr>
          <w:rFonts w:hint="eastAsia" w:ascii="宋体" w:hAnsi="宋体"/>
          <w:bCs/>
          <w:sz w:val="28"/>
          <w:szCs w:val="28"/>
          <w:lang w:val="zh-CN"/>
        </w:rPr>
        <w:t>【投标供应商须知前附表】</w:t>
      </w:r>
      <w:r>
        <w:rPr>
          <w:rFonts w:hint="eastAsia" w:ascii="宋体" w:hAnsi="宋体"/>
          <w:bCs/>
          <w:sz w:val="28"/>
          <w:szCs w:val="28"/>
        </w:rPr>
        <w:t>。</w:t>
      </w:r>
    </w:p>
    <w:p>
      <w:pPr>
        <w:adjustRightInd w:val="0"/>
        <w:snapToGrid w:val="0"/>
        <w:spacing w:line="560" w:lineRule="exact"/>
        <w:ind w:firstLine="574" w:firstLineChars="205"/>
        <w:rPr>
          <w:rFonts w:hint="eastAsia" w:ascii="宋体" w:hAnsi="宋体"/>
          <w:bCs/>
          <w:sz w:val="28"/>
          <w:szCs w:val="28"/>
        </w:rPr>
      </w:pPr>
      <w:r>
        <w:rPr>
          <w:rFonts w:hint="eastAsia" w:ascii="宋体" w:hAnsi="宋体"/>
          <w:bCs/>
          <w:sz w:val="28"/>
          <w:szCs w:val="28"/>
        </w:rPr>
        <w:t>22.2</w:t>
      </w:r>
      <w:bookmarkStart w:id="149" w:name="_Hlk112422244"/>
      <w:r>
        <w:rPr>
          <w:rFonts w:hint="eastAsia" w:ascii="宋体" w:hAnsi="宋体"/>
          <w:bCs/>
          <w:sz w:val="28"/>
          <w:szCs w:val="28"/>
        </w:rPr>
        <w:t>符合性审查标准</w:t>
      </w:r>
      <w:bookmarkEnd w:id="149"/>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pPr>
        <w:adjustRightInd w:val="0"/>
        <w:snapToGrid w:val="0"/>
        <w:spacing w:line="560" w:lineRule="exact"/>
        <w:ind w:firstLine="574" w:firstLineChars="205"/>
        <w:rPr>
          <w:rFonts w:hint="eastAsia" w:ascii="宋体" w:hAnsi="宋体"/>
          <w:bCs/>
          <w:sz w:val="28"/>
          <w:szCs w:val="28"/>
        </w:rPr>
      </w:pPr>
      <w:r>
        <w:rPr>
          <w:rFonts w:hint="eastAsia" w:ascii="宋体" w:hAnsi="宋体"/>
          <w:bCs/>
          <w:sz w:val="28"/>
          <w:szCs w:val="28"/>
        </w:rPr>
        <w:t>22.3采用综合评分法</w:t>
      </w:r>
      <w:r>
        <w:rPr>
          <w:rFonts w:hint="eastAsia" w:asciiTheme="minorEastAsia" w:hAnsiTheme="minorEastAsia" w:eastAsiaTheme="minorEastAsia"/>
          <w:bCs/>
          <w:sz w:val="28"/>
          <w:szCs w:val="28"/>
        </w:rPr>
        <w:t>/</w:t>
      </w:r>
      <w:r>
        <w:rPr>
          <w:rFonts w:hint="eastAsia" w:ascii="宋体" w:hAnsi="宋体"/>
          <w:bCs/>
          <w:sz w:val="28"/>
          <w:szCs w:val="28"/>
        </w:rPr>
        <w:t>质量优先法评审：</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（1）商务评审标准，见【投标供应商须知前附表】。</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（2）技术评审标准，见【投标供应商须知前附表】。</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pPr>
        <w:pStyle w:val="8"/>
        <w:keepNext w:val="0"/>
        <w:keepLines w:val="0"/>
        <w:adjustRightInd w:val="0"/>
        <w:snapToGrid w:val="0"/>
        <w:ind w:firstLine="560" w:firstLineChars="200"/>
        <w:rPr>
          <w:rFonts w:hint="eastAsia" w:ascii="黑体" w:hAnsi="黑体"/>
          <w:b w:val="0"/>
        </w:rPr>
      </w:pPr>
      <w:bookmarkStart w:id="150" w:name="_Toc13319"/>
      <w:bookmarkStart w:id="151" w:name="_Toc18131"/>
      <w:bookmarkStart w:id="152" w:name="_Toc30894"/>
      <w:bookmarkStart w:id="153" w:name="_Toc3179"/>
      <w:r>
        <w:rPr>
          <w:rFonts w:hint="eastAsia" w:ascii="黑体" w:hAnsi="黑体"/>
          <w:b w:val="0"/>
        </w:rPr>
        <w:t>23.评审程序</w:t>
      </w:r>
      <w:bookmarkEnd w:id="150"/>
      <w:bookmarkEnd w:id="151"/>
      <w:bookmarkEnd w:id="152"/>
      <w:bookmarkEnd w:id="153"/>
    </w:p>
    <w:p>
      <w:pPr>
        <w:adjustRightInd w:val="0"/>
        <w:snapToGrid w:val="0"/>
        <w:spacing w:line="560" w:lineRule="exact"/>
        <w:ind w:firstLine="560" w:firstLineChars="200"/>
        <w:rPr>
          <w:rFonts w:hint="eastAsia" w:ascii="宋体" w:hAnsi="宋体"/>
          <w:bCs/>
        </w:rPr>
      </w:pPr>
      <w:r>
        <w:rPr>
          <w:rFonts w:hint="eastAsia" w:ascii="宋体" w:hAnsi="宋体"/>
          <w:bCs/>
          <w:sz w:val="28"/>
          <w:szCs w:val="28"/>
        </w:rPr>
        <w:t>23.1评审按照资格性审查、召开评审预备会、审阅招标文件、符合性审查、商务技术评审、价格评审、复核评审结果、出具评审报告、宣布评审结果、公示评审结果的基本程序组织实施。</w:t>
      </w:r>
    </w:p>
    <w:p>
      <w:pPr>
        <w:pStyle w:val="8"/>
        <w:keepNext w:val="0"/>
        <w:keepLines w:val="0"/>
        <w:adjustRightInd w:val="0"/>
        <w:snapToGrid w:val="0"/>
        <w:ind w:firstLine="560" w:firstLineChars="200"/>
        <w:rPr>
          <w:rFonts w:hint="eastAsia" w:ascii="黑体" w:hAnsi="黑体"/>
          <w:b w:val="0"/>
        </w:rPr>
      </w:pPr>
      <w:bookmarkStart w:id="154" w:name="_Toc12697"/>
      <w:bookmarkStart w:id="155" w:name="_Toc2840"/>
      <w:bookmarkStart w:id="156" w:name="_Toc24106"/>
      <w:bookmarkStart w:id="157" w:name="_Toc7141"/>
      <w:r>
        <w:rPr>
          <w:rFonts w:hint="eastAsia" w:ascii="黑体" w:hAnsi="黑体"/>
          <w:b w:val="0"/>
        </w:rPr>
        <w:t>24.资格性审查</w:t>
      </w:r>
      <w:bookmarkEnd w:id="154"/>
      <w:bookmarkEnd w:id="155"/>
      <w:bookmarkEnd w:id="156"/>
      <w:bookmarkEnd w:id="157"/>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24.1开标后，</w:t>
      </w:r>
      <w:r>
        <w:rPr>
          <w:rFonts w:hint="eastAsia" w:asciiTheme="minorEastAsia" w:hAnsiTheme="minorEastAsia" w:eastAsiaTheme="minorEastAsia"/>
          <w:bCs/>
          <w:sz w:val="28"/>
          <w:szCs w:val="36"/>
        </w:rPr>
        <w:t>评审委员会</w:t>
      </w:r>
      <w:r>
        <w:rPr>
          <w:rFonts w:hint="eastAsia" w:ascii="宋体" w:hAnsi="宋体"/>
          <w:bCs/>
          <w:sz w:val="28"/>
          <w:szCs w:val="28"/>
        </w:rPr>
        <w:t>依据招标文件规定的资格性审查标准，对投标供应商的资格进行审查。</w:t>
      </w:r>
    </w:p>
    <w:p>
      <w:pPr>
        <w:adjustRightInd w:val="0"/>
        <w:snapToGrid w:val="0"/>
        <w:spacing w:line="560" w:lineRule="exact"/>
        <w:ind w:firstLine="560" w:firstLineChars="200"/>
        <w:rPr>
          <w:rFonts w:hint="eastAsia" w:ascii="仿宋_GB2312" w:hAnsi="仿宋"/>
          <w:bCs/>
          <w:sz w:val="28"/>
          <w:szCs w:val="36"/>
        </w:rPr>
      </w:pPr>
      <w:r>
        <w:rPr>
          <w:rFonts w:hint="eastAsia" w:ascii="仿宋_GB2312" w:hAnsi="仿宋"/>
          <w:bCs/>
          <w:sz w:val="28"/>
          <w:szCs w:val="36"/>
        </w:rPr>
        <w:t>（1）通过资格性审查的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pPr>
        <w:adjustRightInd w:val="0"/>
        <w:snapToGrid w:val="0"/>
        <w:spacing w:line="560" w:lineRule="exact"/>
        <w:ind w:firstLine="560" w:firstLineChars="200"/>
        <w:rPr>
          <w:rFonts w:hint="eastAsia" w:ascii="宋体" w:hAnsi="宋体"/>
          <w:bCs/>
          <w:sz w:val="28"/>
          <w:szCs w:val="36"/>
        </w:rPr>
      </w:pPr>
      <w:r>
        <w:rPr>
          <w:rFonts w:hint="eastAsia" w:ascii="宋体" w:hAnsi="宋体"/>
          <w:bCs/>
          <w:sz w:val="28"/>
          <w:szCs w:val="36"/>
        </w:rPr>
        <w:t>（2）</w:t>
      </w:r>
      <w:r>
        <w:rPr>
          <w:rFonts w:hint="eastAsia" w:asciiTheme="minorEastAsia" w:hAnsiTheme="minorEastAsia" w:eastAsiaTheme="minorEastAsia"/>
          <w:bCs/>
          <w:sz w:val="28"/>
          <w:szCs w:val="36"/>
        </w:rPr>
        <w:t>评审委员会</w:t>
      </w:r>
      <w:r>
        <w:rPr>
          <w:rFonts w:hint="eastAsia" w:ascii="宋体" w:hAnsi="宋体"/>
          <w:bCs/>
          <w:sz w:val="28"/>
          <w:szCs w:val="36"/>
        </w:rPr>
        <w:t>应当对资格性审查结果签字确认。</w:t>
      </w:r>
    </w:p>
    <w:p>
      <w:pPr>
        <w:adjustRightInd w:val="0"/>
        <w:snapToGrid w:val="0"/>
        <w:spacing w:line="560" w:lineRule="exact"/>
        <w:ind w:firstLine="560" w:firstLineChars="200"/>
        <w:rPr>
          <w:rFonts w:hint="eastAsia" w:ascii="宋体" w:hAnsi="宋体"/>
          <w:bCs/>
          <w:sz w:val="28"/>
          <w:szCs w:val="36"/>
        </w:rPr>
      </w:pPr>
      <w:r>
        <w:rPr>
          <w:rFonts w:hint="eastAsia" w:ascii="宋体" w:hAnsi="宋体"/>
          <w:bCs/>
          <w:sz w:val="28"/>
          <w:szCs w:val="36"/>
        </w:rPr>
        <w:t>（3）</w:t>
      </w:r>
      <w:r>
        <w:rPr>
          <w:rFonts w:hint="eastAsia" w:asciiTheme="minorEastAsia" w:hAnsiTheme="minorEastAsia" w:eastAsiaTheme="minorEastAsia"/>
          <w:bCs/>
          <w:sz w:val="28"/>
          <w:szCs w:val="36"/>
        </w:rPr>
        <w:t>评审委员会</w:t>
      </w:r>
      <w:r>
        <w:rPr>
          <w:rFonts w:hint="eastAsia" w:ascii="宋体" w:hAnsi="宋体"/>
          <w:bCs/>
          <w:sz w:val="28"/>
          <w:szCs w:val="36"/>
        </w:rPr>
        <w:t>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w:t>
      </w:r>
      <w:r>
        <w:rPr>
          <w:rFonts w:hint="eastAsia" w:ascii="宋体" w:hAnsi="宋体"/>
          <w:bCs/>
          <w:sz w:val="28"/>
          <w:szCs w:val="28"/>
        </w:rPr>
        <w:t>评标委员会</w:t>
      </w:r>
      <w:r>
        <w:rPr>
          <w:rFonts w:hint="eastAsia" w:ascii="宋体" w:hAnsi="宋体"/>
          <w:bCs/>
          <w:sz w:val="28"/>
          <w:szCs w:val="36"/>
        </w:rPr>
        <w:t>如实记录并存入采购档案。</w:t>
      </w:r>
      <w:r>
        <w:rPr>
          <w:rFonts w:hint="eastAsia" w:ascii="宋体" w:hAnsi="宋体"/>
          <w:bCs/>
          <w:sz w:val="28"/>
          <w:szCs w:val="28"/>
        </w:rPr>
        <w:t>投标</w:t>
      </w:r>
      <w:r>
        <w:rPr>
          <w:rFonts w:hint="eastAsia" w:ascii="宋体" w:hAnsi="宋体"/>
          <w:bCs/>
          <w:sz w:val="28"/>
          <w:szCs w:val="36"/>
        </w:rPr>
        <w:t>供应商有疑义的，</w:t>
      </w:r>
      <w:r>
        <w:rPr>
          <w:rFonts w:hint="eastAsia" w:ascii="宋体" w:hAnsi="宋体"/>
          <w:bCs/>
          <w:sz w:val="28"/>
          <w:szCs w:val="28"/>
        </w:rPr>
        <w:t>评标委员会</w:t>
      </w:r>
      <w:r>
        <w:rPr>
          <w:rFonts w:hint="eastAsia" w:ascii="宋体" w:hAnsi="宋体"/>
          <w:bCs/>
          <w:sz w:val="28"/>
          <w:szCs w:val="36"/>
        </w:rPr>
        <w:t>应当当场解答。</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24.2招标过程中，供应商发生合并、分立或破产等重大变化时，应当及时书面告知采购机构。</w:t>
      </w:r>
    </w:p>
    <w:p>
      <w:pPr>
        <w:pStyle w:val="8"/>
        <w:keepNext w:val="0"/>
        <w:keepLines w:val="0"/>
        <w:adjustRightInd w:val="0"/>
        <w:snapToGrid w:val="0"/>
        <w:ind w:firstLine="560" w:firstLineChars="200"/>
        <w:rPr>
          <w:rFonts w:hint="eastAsia" w:ascii="黑体" w:hAnsi="黑体"/>
          <w:b w:val="0"/>
        </w:rPr>
      </w:pPr>
      <w:bookmarkStart w:id="158" w:name="_Toc21070"/>
      <w:bookmarkStart w:id="159" w:name="_Toc13786"/>
      <w:bookmarkStart w:id="160" w:name="_Toc9367"/>
      <w:bookmarkStart w:id="161" w:name="_Toc5348"/>
      <w:r>
        <w:rPr>
          <w:rFonts w:hint="eastAsia" w:ascii="黑体" w:hAnsi="黑体"/>
          <w:b w:val="0"/>
        </w:rPr>
        <w:t>25.召开评审预备会</w:t>
      </w:r>
      <w:bookmarkEnd w:id="158"/>
      <w:bookmarkEnd w:id="159"/>
      <w:bookmarkEnd w:id="160"/>
      <w:bookmarkEnd w:id="161"/>
    </w:p>
    <w:p>
      <w:pPr>
        <w:adjustRightInd w:val="0"/>
        <w:snapToGrid w:val="0"/>
        <w:spacing w:line="560" w:lineRule="exact"/>
        <w:ind w:firstLine="560" w:firstLineChars="200"/>
        <w:rPr>
          <w:rFonts w:hint="eastAsia" w:ascii="仿宋_GB2312" w:hAnsi="仿宋"/>
          <w:bCs/>
          <w:sz w:val="28"/>
          <w:szCs w:val="36"/>
        </w:rPr>
      </w:pPr>
      <w:r>
        <w:rPr>
          <w:rFonts w:hint="eastAsia" w:asciiTheme="minorEastAsia" w:hAnsiTheme="minorEastAsia" w:eastAsiaTheme="minorEastAsia"/>
          <w:bCs/>
          <w:sz w:val="28"/>
          <w:szCs w:val="36"/>
        </w:rPr>
        <w:t>25.1采购机构组织评审委员会召开评审预备会。采购单位或采购机构介绍采购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pPr>
        <w:pStyle w:val="8"/>
        <w:keepNext w:val="0"/>
        <w:keepLines w:val="0"/>
        <w:adjustRightInd w:val="0"/>
        <w:snapToGrid w:val="0"/>
        <w:ind w:firstLine="560" w:firstLineChars="200"/>
        <w:rPr>
          <w:rFonts w:hint="eastAsia" w:ascii="黑体" w:hAnsi="黑体"/>
          <w:b w:val="0"/>
        </w:rPr>
      </w:pPr>
      <w:r>
        <w:rPr>
          <w:rFonts w:hint="eastAsia" w:ascii="黑体" w:hAnsi="黑体"/>
          <w:b w:val="0"/>
        </w:rPr>
        <w:t>26.审阅招标文件</w:t>
      </w:r>
    </w:p>
    <w:p>
      <w:pPr>
        <w:spacing w:line="560" w:lineRule="exact"/>
        <w:ind w:firstLine="560" w:firstLineChars="200"/>
        <w:rPr>
          <w:rFonts w:hint="eastAsia" w:asciiTheme="minorEastAsia" w:hAnsiTheme="minorEastAsia" w:eastAsiaTheme="minorEastAsia"/>
          <w:bCs/>
          <w:sz w:val="28"/>
          <w:szCs w:val="36"/>
        </w:rPr>
      </w:pPr>
      <w:r>
        <w:rPr>
          <w:rFonts w:hint="eastAsia" w:asciiTheme="minorEastAsia" w:hAnsiTheme="minorEastAsia" w:eastAsiaTheme="minorEastAsia"/>
          <w:bCs/>
          <w:sz w:val="28"/>
          <w:szCs w:val="36"/>
        </w:rPr>
        <w:t>26.1评审委员会在评审开始前审阅招标文件，重点熟悉理解招标文件符合性审查要求、无效投标条款和评审标准等内容。</w:t>
      </w:r>
    </w:p>
    <w:p>
      <w:pPr>
        <w:adjustRightInd w:val="0"/>
        <w:snapToGrid w:val="0"/>
        <w:spacing w:line="560" w:lineRule="exact"/>
        <w:ind w:firstLine="560" w:firstLineChars="200"/>
        <w:rPr>
          <w:rFonts w:hint="eastAsia"/>
          <w:sz w:val="21"/>
        </w:rPr>
      </w:pPr>
      <w:r>
        <w:rPr>
          <w:rFonts w:hint="eastAsia" w:asciiTheme="minorEastAsia" w:hAnsiTheme="minorEastAsia" w:eastAsiaTheme="minorEastAsia"/>
          <w:bCs/>
          <w:sz w:val="28"/>
          <w:szCs w:val="36"/>
        </w:rPr>
        <w:t>26.2</w:t>
      </w:r>
      <w:r>
        <w:rPr>
          <w:rFonts w:hint="eastAsia" w:ascii="宋体" w:hAnsi="宋体"/>
          <w:bCs/>
          <w:sz w:val="28"/>
          <w:szCs w:val="28"/>
        </w:rPr>
        <w:t>评审委员会成员对招标文件相关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pPr>
        <w:pStyle w:val="8"/>
        <w:keepNext w:val="0"/>
        <w:keepLines w:val="0"/>
        <w:adjustRightInd w:val="0"/>
        <w:snapToGrid w:val="0"/>
        <w:ind w:firstLine="560" w:firstLineChars="200"/>
        <w:rPr>
          <w:rFonts w:ascii="黑体" w:hAnsi="黑体"/>
          <w:b w:val="0"/>
        </w:rPr>
      </w:pPr>
      <w:bookmarkStart w:id="162" w:name="_Toc6186"/>
      <w:bookmarkStart w:id="163" w:name="_Toc7999"/>
      <w:bookmarkStart w:id="164" w:name="_Toc23488"/>
      <w:bookmarkStart w:id="165" w:name="_Toc12912"/>
      <w:r>
        <w:rPr>
          <w:rFonts w:hint="eastAsia" w:ascii="黑体" w:hAnsi="黑体"/>
          <w:b w:val="0"/>
        </w:rPr>
        <w:t>27.符合性审查</w:t>
      </w:r>
      <w:bookmarkEnd w:id="162"/>
      <w:bookmarkEnd w:id="163"/>
      <w:bookmarkEnd w:id="164"/>
      <w:bookmarkEnd w:id="165"/>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27.1投标文件的偏离与实质性响应：</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（1）招标文件中用“★”号标明的条款不允许负偏离，投标供应商应当作出实质性响应，未作实质性响应的视为无效投标。</w:t>
      </w:r>
    </w:p>
    <w:p>
      <w:pPr>
        <w:adjustRightInd w:val="0"/>
        <w:snapToGrid w:val="0"/>
        <w:spacing w:line="560" w:lineRule="exact"/>
        <w:ind w:firstLine="560" w:firstLineChars="200"/>
        <w:jc w:val="left"/>
        <w:rPr>
          <w:rFonts w:hint="eastAsia" w:ascii="仿宋_GB2312" w:hAnsi="仿宋"/>
          <w:bCs/>
          <w:sz w:val="28"/>
          <w:szCs w:val="36"/>
        </w:rPr>
      </w:pPr>
      <w:r>
        <w:rPr>
          <w:rFonts w:hint="eastAsia" w:asciiTheme="minorEastAsia" w:hAnsiTheme="minorEastAsia" w:eastAsiaTheme="minorEastAsia"/>
          <w:bCs/>
          <w:sz w:val="28"/>
          <w:szCs w:val="28"/>
        </w:rPr>
        <w:t>（2）投标文件中</w:t>
      </w:r>
      <w:bookmarkStart w:id="166" w:name="_Hlk126928482"/>
      <w:r>
        <w:rPr>
          <w:rFonts w:hint="eastAsia" w:asciiTheme="minorEastAsia" w:hAnsiTheme="minorEastAsia" w:eastAsiaTheme="minorEastAsia"/>
          <w:bCs/>
          <w:sz w:val="28"/>
          <w:szCs w:val="28"/>
        </w:rPr>
        <w:t>非“★”号标明的条款负偏离的项数应当符合</w:t>
      </w:r>
      <w:bookmarkEnd w:id="166"/>
      <w:r>
        <w:rPr>
          <w:rFonts w:hint="eastAsia" w:asciiTheme="minorEastAsia" w:hAnsiTheme="minorEastAsia" w:eastAsiaTheme="minorEastAsia"/>
          <w:bCs/>
          <w:sz w:val="28"/>
          <w:szCs w:val="28"/>
        </w:rPr>
        <w:t>【投标供应商须知前附表】明确的要求，否则视为无效投标。</w:t>
      </w:r>
    </w:p>
    <w:p>
      <w:pPr>
        <w:adjustRightInd w:val="0"/>
        <w:snapToGrid w:val="0"/>
        <w:spacing w:line="560" w:lineRule="exact"/>
        <w:ind w:firstLine="560" w:firstLineChars="200"/>
        <w:rPr>
          <w:rFonts w:hint="eastAsia" w:ascii="宋体" w:hAnsi="宋体"/>
          <w:bCs/>
          <w:sz w:val="28"/>
          <w:szCs w:val="28"/>
        </w:rPr>
      </w:pPr>
      <w:r>
        <w:rPr>
          <w:rFonts w:hint="eastAsia" w:asciiTheme="minorEastAsia" w:hAnsiTheme="minorEastAsia" w:eastAsiaTheme="minorEastAsia"/>
          <w:bCs/>
          <w:sz w:val="28"/>
          <w:szCs w:val="36"/>
        </w:rPr>
        <w:t>27.2</w:t>
      </w:r>
      <w:r>
        <w:rPr>
          <w:rFonts w:hint="eastAsia" w:asciiTheme="minorEastAsia" w:hAnsiTheme="minorEastAsia" w:eastAsiaTheme="minorEastAsia"/>
          <w:bCs/>
          <w:sz w:val="28"/>
          <w:szCs w:val="28"/>
        </w:rPr>
        <w:t>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pPr>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（1）不得以招标文件未明确的内容和非实质性条款判定投标供应商投标无效。</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pPr>
        <w:pStyle w:val="8"/>
        <w:keepNext w:val="0"/>
        <w:keepLines w:val="0"/>
        <w:adjustRightInd w:val="0"/>
        <w:snapToGrid w:val="0"/>
        <w:ind w:firstLine="560" w:firstLineChars="200"/>
        <w:rPr>
          <w:rFonts w:hint="eastAsia" w:ascii="黑体" w:hAnsi="黑体"/>
          <w:b w:val="0"/>
        </w:rPr>
      </w:pPr>
      <w:bookmarkStart w:id="167" w:name="_Toc12589"/>
      <w:bookmarkStart w:id="168" w:name="_Toc21212"/>
      <w:bookmarkStart w:id="169" w:name="_Toc11679"/>
      <w:bookmarkStart w:id="170" w:name="_Toc687"/>
      <w:r>
        <w:rPr>
          <w:rFonts w:hint="eastAsia" w:ascii="黑体" w:hAnsi="黑体"/>
          <w:b w:val="0"/>
        </w:rPr>
        <w:t>28.</w:t>
      </w:r>
      <w:bookmarkStart w:id="171" w:name="_Hlk112426492"/>
      <w:bookmarkStart w:id="172" w:name="_Hlk112422739"/>
      <w:r>
        <w:rPr>
          <w:rFonts w:hint="eastAsia" w:ascii="黑体" w:hAnsi="黑体"/>
          <w:b w:val="0"/>
        </w:rPr>
        <w:t>解释与澄清</w:t>
      </w:r>
      <w:bookmarkEnd w:id="167"/>
      <w:bookmarkEnd w:id="168"/>
      <w:bookmarkEnd w:id="169"/>
      <w:bookmarkEnd w:id="170"/>
      <w:bookmarkEnd w:id="171"/>
      <w:bookmarkEnd w:id="172"/>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28.1对于投标文件中含义不明确、同类问题表述不一致或有明显文字、计算错误的内容，评审委员会应当要求投标供应商作出必要的澄清、说明或补正。</w:t>
      </w:r>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28.2投标供应商的澄清、说明或补正应当采用书面形式，并由法定代表人或授权代表签字。未签字的，澄清、说明或补正内容无效。</w:t>
      </w:r>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28.3有效的书面澄清材料，是投标文件的补充材料，成为投标文件的组成部分。</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28.4投标文件出现下列情形，不需要投标供应商澄清，按照下列规定进行算术修正：</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（1）投标文件中开标一览表内容与投标文件中相应内容不一致的，以开标一览表为准。</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（2）投标文件的大写金额和小写金额不一致的，以大写金额为准，但大写金额出现文字错误，导致金额无法判断的，以小写金额为准。</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（3）总价金额与按照单价汇总金额不一致的，以单价汇总金额为准，但是单价汇总金额出现计算错误且明显人为工作失误的，以总价金额为准；单价金额小数点有明显错位的，以总价金额为准。</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（4）不同语言文本投标文件的解释有异议的，以中文文本为准。</w:t>
      </w:r>
    </w:p>
    <w:p>
      <w:pPr>
        <w:adjustRightInd w:val="0"/>
        <w:snapToGrid w:val="0"/>
        <w:spacing w:line="560" w:lineRule="exact"/>
        <w:ind w:firstLine="560" w:firstLineChars="200"/>
        <w:rPr>
          <w:rFonts w:hint="eastAsia"/>
          <w:sz w:val="21"/>
        </w:rPr>
      </w:pPr>
      <w:r>
        <w:rPr>
          <w:rFonts w:hint="eastAsia" w:asciiTheme="minorEastAsia" w:hAnsiTheme="minorEastAsia" w:eastAsiaTheme="minorEastAsia"/>
          <w:bCs/>
          <w:sz w:val="28"/>
          <w:szCs w:val="28"/>
        </w:rPr>
        <w:t>同时出现本条第（2）（3）项情形的，按照第（2）项规定修正。修正后的内容经投标供应商确认后继续评审，投标供应商不确认的，其投标无效。</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cs="仿宋" w:asciiTheme="minorEastAsia" w:hAnsiTheme="minorEastAsia" w:eastAsiaTheme="minorEastAsia"/>
          <w:bCs/>
          <w:sz w:val="28"/>
          <w:szCs w:val="28"/>
        </w:rPr>
        <w:t>28.5评审委员会组织澄清时不得出现下列情形：</w:t>
      </w:r>
    </w:p>
    <w:p>
      <w:pPr>
        <w:adjustRightInd w:val="0"/>
        <w:snapToGrid w:val="0"/>
        <w:spacing w:line="560" w:lineRule="exact"/>
        <w:ind w:firstLine="560" w:firstLineChars="200"/>
        <w:rPr>
          <w:rFonts w:hint="eastAsia"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（1）拒绝接受采购机构或采购单位对招标文件的解释、说明；</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lang w:val="zh-CN"/>
        </w:rPr>
        <w:t>（3）</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lang w:val="zh-CN"/>
        </w:rPr>
        <w:t>（4）</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28.6评审委员会不得要求投标供应商澄清下列内容：</w:t>
      </w:r>
    </w:p>
    <w:p>
      <w:pPr>
        <w:adjustRightInd w:val="0"/>
        <w:snapToGrid w:val="0"/>
        <w:spacing w:line="560" w:lineRule="exact"/>
        <w:ind w:firstLine="560" w:firstLineChars="200"/>
        <w:rPr>
          <w:rFonts w:hint="eastAsia"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pPr>
        <w:adjustRightInd w:val="0"/>
        <w:snapToGrid w:val="0"/>
        <w:spacing w:line="560" w:lineRule="exact"/>
        <w:ind w:firstLine="560" w:firstLineChars="200"/>
        <w:rPr>
          <w:rFonts w:hint="eastAsia"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投标文件中不响应招标文件规定的技术参数指标和商务要求；</w:t>
      </w:r>
    </w:p>
    <w:p>
      <w:pPr>
        <w:adjustRightInd w:val="0"/>
        <w:snapToGrid w:val="0"/>
        <w:spacing w:line="560" w:lineRule="exact"/>
        <w:ind w:firstLine="560" w:firstLineChars="200"/>
        <w:rPr>
          <w:rFonts w:hint="eastAsia"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（3）投标文件中未提供的资格性、符合性审查要求的证明材料。</w:t>
      </w:r>
    </w:p>
    <w:p>
      <w:pPr>
        <w:pStyle w:val="8"/>
        <w:keepNext w:val="0"/>
        <w:keepLines w:val="0"/>
        <w:adjustRightInd w:val="0"/>
        <w:snapToGrid w:val="0"/>
        <w:ind w:firstLine="560" w:firstLineChars="200"/>
        <w:rPr>
          <w:rFonts w:hint="eastAsia" w:ascii="黑体" w:hAnsi="黑体"/>
          <w:b w:val="0"/>
        </w:rPr>
      </w:pPr>
      <w:r>
        <w:rPr>
          <w:rFonts w:hint="eastAsia" w:ascii="黑体" w:hAnsi="黑体"/>
          <w:b w:val="0"/>
        </w:rPr>
        <w:t>29.商务、技术评审</w:t>
      </w:r>
    </w:p>
    <w:p>
      <w:pPr>
        <w:spacing w:line="560" w:lineRule="exact"/>
        <w:ind w:firstLine="560" w:firstLineChars="200"/>
        <w:rPr>
          <w:rFonts w:hint="eastAsia"/>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29.1采用综合评分法</w:t>
      </w:r>
      <w:r>
        <w:rPr>
          <w:rFonts w:hint="eastAsia" w:asciiTheme="minorEastAsia" w:hAnsiTheme="minorEastAsia" w:eastAsiaTheme="minorEastAsia"/>
          <w:bCs/>
          <w:sz w:val="28"/>
          <w:szCs w:val="28"/>
        </w:rPr>
        <w:t>/</w:t>
      </w:r>
      <w:r>
        <w:rPr>
          <w:rFonts w:hint="eastAsia" w:ascii="宋体" w:hAnsi="宋体"/>
          <w:bCs/>
          <w:sz w:val="28"/>
          <w:szCs w:val="28"/>
        </w:rPr>
        <w:t>质量优先法评审时：</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20%以上的，以其他评委的评分均值作为该成员的评分；评审委员会所有成员的评分均偏离20%以上的，以全体成员的评分均值计算。</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通过资格性和符合性审查的投标供应商，依据商务、技术评审标准进行评审后，现场宣布商务、技术得分和技术排名，并公布按照【投标供应商须知前附表】明确的合格分或规定名次淘汰的技术评审未达到合格分或得分排名靠后的投标供应商，第二次开标后，按照价格评审标准进行评审。</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pPr>
        <w:adjustRightInd w:val="0"/>
        <w:snapToGrid w:val="0"/>
        <w:spacing w:line="560" w:lineRule="exact"/>
        <w:ind w:firstLine="560" w:firstLineChars="200"/>
        <w:rPr>
          <w:rFonts w:hint="eastAsia"/>
          <w:sz w:val="21"/>
        </w:rPr>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pPr>
        <w:adjustRightInd w:val="0"/>
        <w:snapToGrid w:val="0"/>
        <w:spacing w:line="560" w:lineRule="exact"/>
        <w:ind w:firstLine="560" w:firstLineChars="200"/>
        <w:rPr>
          <w:rFonts w:ascii="宋体" w:hAnsi="宋体" w:cs="宋体"/>
          <w:bCs/>
          <w:snapToGrid w:val="0"/>
          <w:sz w:val="28"/>
          <w:szCs w:val="28"/>
          <w:lang w:val="zh-CN"/>
        </w:rPr>
      </w:pPr>
      <w:r>
        <w:rPr>
          <w:rFonts w:hint="eastAsia" w:ascii="宋体" w:hAnsi="宋体"/>
          <w:bCs/>
          <w:sz w:val="28"/>
          <w:szCs w:val="28"/>
        </w:rPr>
        <w:t>※</w:t>
      </w:r>
      <w:r>
        <w:rPr>
          <w:rFonts w:hint="eastAsia" w:ascii="宋体" w:hAnsi="宋体" w:cs="宋体"/>
          <w:bCs/>
          <w:snapToGrid w:val="0"/>
          <w:sz w:val="28"/>
          <w:szCs w:val="28"/>
          <w:lang w:val="zh-CN"/>
        </w:rPr>
        <w:t>29.</w:t>
      </w:r>
      <w:r>
        <w:rPr>
          <w:rFonts w:hint="eastAsia" w:ascii="宋体" w:hAnsi="宋体" w:cs="宋体"/>
          <w:bCs/>
          <w:snapToGrid w:val="0"/>
          <w:sz w:val="28"/>
          <w:szCs w:val="28"/>
        </w:rPr>
        <w:t>3</w:t>
      </w:r>
      <w:r>
        <w:rPr>
          <w:rFonts w:hint="eastAsia"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pPr>
        <w:adjustRightInd w:val="0"/>
        <w:snapToGrid w:val="0"/>
        <w:spacing w:line="560" w:lineRule="exact"/>
        <w:ind w:firstLine="560" w:firstLineChars="200"/>
        <w:rPr>
          <w:rFonts w:hint="eastAsia" w:ascii="宋体" w:hAnsi="宋体" w:cs="宋体"/>
          <w:bCs/>
          <w:snapToGrid w:val="0"/>
          <w:sz w:val="28"/>
          <w:szCs w:val="28"/>
          <w:lang w:val="zh-CN"/>
        </w:rPr>
      </w:pPr>
      <w:r>
        <w:rPr>
          <w:rFonts w:hint="eastAsia" w:ascii="宋体" w:hAnsi="宋体" w:cs="宋体"/>
          <w:bCs/>
          <w:snapToGrid w:val="0"/>
          <w:sz w:val="28"/>
          <w:szCs w:val="28"/>
          <w:lang w:val="zh-CN"/>
        </w:rPr>
        <w:t>29.</w:t>
      </w:r>
      <w:r>
        <w:rPr>
          <w:rFonts w:hint="eastAsia" w:ascii="宋体" w:hAnsi="宋体" w:cs="宋体"/>
          <w:bCs/>
          <w:snapToGrid w:val="0"/>
          <w:sz w:val="28"/>
          <w:szCs w:val="28"/>
        </w:rPr>
        <w:t>4</w:t>
      </w:r>
      <w:r>
        <w:rPr>
          <w:rFonts w:hint="eastAsia" w:ascii="宋体" w:hAnsi="宋体" w:cs="宋体"/>
          <w:bCs/>
          <w:snapToGrid w:val="0"/>
          <w:sz w:val="28"/>
          <w:szCs w:val="28"/>
          <w:lang w:val="zh-CN"/>
        </w:rPr>
        <w:t>相同品牌或核心产品评审。</w:t>
      </w:r>
    </w:p>
    <w:p>
      <w:pPr>
        <w:adjustRightInd w:val="0"/>
        <w:snapToGrid w:val="0"/>
        <w:spacing w:line="560" w:lineRule="exact"/>
        <w:ind w:firstLine="560" w:firstLineChars="200"/>
        <w:rPr>
          <w:rFonts w:hint="eastAsia" w:ascii="仿宋_GB2312" w:hAnsi="仿宋"/>
          <w:bCs/>
          <w:sz w:val="28"/>
          <w:szCs w:val="36"/>
        </w:rPr>
      </w:pPr>
      <w:r>
        <w:rPr>
          <w:rFonts w:hint="eastAsia" w:ascii="宋体" w:hAnsi="宋体"/>
          <w:bCs/>
          <w:sz w:val="28"/>
          <w:szCs w:val="36"/>
        </w:rPr>
        <w:t>（1）单个品种物资采购项目，不同</w:t>
      </w:r>
      <w:r>
        <w:rPr>
          <w:rFonts w:hint="eastAsia" w:ascii="仿宋_GB2312" w:hAnsi="仿宋"/>
          <w:bCs/>
          <w:sz w:val="28"/>
          <w:szCs w:val="36"/>
        </w:rPr>
        <w:t>投标供应商</w:t>
      </w:r>
      <w:r>
        <w:rPr>
          <w:rFonts w:hint="eastAsia" w:ascii="宋体" w:hAnsi="宋体"/>
          <w:bCs/>
          <w:sz w:val="28"/>
          <w:szCs w:val="36"/>
        </w:rPr>
        <w:t>提供相同品牌产品的，投标供应商数量按1家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hint="eastAsia" w:asciiTheme="minorEastAsia" w:hAnsiTheme="minorEastAsia" w:eastAsiaTheme="minorEastAsia"/>
          <w:bCs/>
          <w:sz w:val="28"/>
          <w:szCs w:val="36"/>
        </w:rPr>
        <w:t>2家</w:t>
      </w:r>
      <w:r>
        <w:rPr>
          <w:rFonts w:hint="eastAsia" w:ascii="仿宋_GB2312" w:hAnsi="仿宋"/>
          <w:bCs/>
          <w:sz w:val="28"/>
          <w:szCs w:val="36"/>
        </w:rPr>
        <w:t>品牌产品的，</w:t>
      </w:r>
      <w:r>
        <w:rPr>
          <w:rFonts w:hint="eastAsia" w:ascii="宋体" w:hAnsi="宋体"/>
          <w:bCs/>
          <w:sz w:val="28"/>
          <w:szCs w:val="36"/>
        </w:rPr>
        <w:t>按照第20.4条明确的</w:t>
      </w:r>
      <w:r>
        <w:rPr>
          <w:rFonts w:hint="eastAsia" w:ascii="仿宋_GB2312" w:hAnsi="仿宋"/>
          <w:bCs/>
          <w:sz w:val="28"/>
          <w:szCs w:val="36"/>
        </w:rPr>
        <w:t>方法执行。</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36"/>
        </w:rPr>
        <w:t>（2）多个品种物资采购项目，</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多家投标供应商提供的核心产品品牌相同的，以及招标文件未明确核心产品、不同投标供应商提供的相同品牌产品金额均超过各自报价50%的，按照1家投标供应商计算，依据前条执行。</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29.5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pPr>
        <w:pStyle w:val="8"/>
        <w:keepNext w:val="0"/>
        <w:keepLines w:val="0"/>
        <w:adjustRightInd w:val="0"/>
        <w:snapToGrid w:val="0"/>
        <w:ind w:firstLine="560" w:firstLineChars="200"/>
        <w:rPr>
          <w:rFonts w:hint="eastAsia" w:ascii="黑体" w:hAnsi="黑体"/>
          <w:b w:val="0"/>
        </w:rPr>
      </w:pPr>
      <w:r>
        <w:rPr>
          <w:rFonts w:hint="eastAsia" w:ascii="黑体" w:hAnsi="黑体"/>
          <w:b w:val="0"/>
        </w:rPr>
        <w:t>30.价格评审</w:t>
      </w:r>
    </w:p>
    <w:p>
      <w:pPr>
        <w:spacing w:line="560" w:lineRule="exact"/>
        <w:ind w:firstLine="560" w:firstLineChars="200"/>
        <w:rPr>
          <w:rFonts w:hint="eastAsia"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30.1综合评分法和质量优先法的价格分，采用低价优先法计算，即满足招标文件实质性要求的投标供应商最低报价为评审基准价，其价格分为满分（标准分值）。其他投标供应商的价格分按照下列公式计算：</w:t>
      </w:r>
    </w:p>
    <w:p>
      <w:pPr>
        <w:adjustRightInd w:val="0"/>
        <w:snapToGrid w:val="0"/>
        <w:spacing w:line="560" w:lineRule="exact"/>
        <w:ind w:firstLine="560" w:firstLineChars="200"/>
        <w:jc w:val="left"/>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价格得分=（评审基准价/报价）×标准分值</w:t>
      </w:r>
    </w:p>
    <w:p>
      <w:pPr>
        <w:adjustRightInd w:val="0"/>
        <w:snapToGrid w:val="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如有第28.4条出现的算术修正，以算术修正后的价格计算评审基准价和投标报价。</w:t>
      </w:r>
    </w:p>
    <w:p>
      <w:pPr>
        <w:adjustRightInd w:val="0"/>
        <w:snapToGrid w:val="0"/>
        <w:spacing w:line="560" w:lineRule="exact"/>
        <w:ind w:firstLine="560" w:firstLineChars="200"/>
        <w:rPr>
          <w:rFonts w:hint="eastAsia"/>
          <w:sz w:val="21"/>
        </w:rPr>
      </w:pPr>
      <w:r>
        <w:rPr>
          <w:rFonts w:hint="eastAsia" w:ascii="宋体" w:hAnsi="宋体"/>
          <w:bCs/>
          <w:sz w:val="28"/>
          <w:szCs w:val="28"/>
        </w:rPr>
        <w:t>30.2经评审的最低价法的价格评审，按照投标报价由低到高顺序排列。</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30.3评审委员会认为投标供应商报价低于其他所有通过资格性、符合性审查的投标供应商平均报价40%，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30.4投标供应商投标报价超过预算的，按照下列方式处理：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投标供应商投标报价均超预算的，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部分投标供应商投标报价超预算的，应当继续评审。评审后，预中标供应商报价未超预算的，评审结果有效。预中标供应商报价超预算，经采购单位书面确认能够追加的，评审结果有效；不能追加的，采购单位可以按照评审排名结果依次递补确定中标供应商，但剩余有效投标供应商数量应当达到需要递补投标供应商数量的2倍，否则由采购机构重新组织采购。</w:t>
      </w:r>
    </w:p>
    <w:p>
      <w:pPr>
        <w:adjustRightInd w:val="0"/>
        <w:snapToGrid w:val="0"/>
        <w:spacing w:line="560" w:lineRule="exact"/>
        <w:ind w:firstLine="560" w:firstLineChars="200"/>
        <w:rPr>
          <w:rFonts w:hint="eastAsia"/>
          <w:sz w:val="21"/>
        </w:rPr>
      </w:pPr>
      <w:r>
        <w:rPr>
          <w:rFonts w:hint="eastAsia" w:ascii="宋体" w:hAnsi="宋体"/>
          <w:bCs/>
          <w:sz w:val="28"/>
          <w:szCs w:val="28"/>
        </w:rPr>
        <w:t>（3）同一采购项目中的部分产品单价或金额超预算，但中标总金额未超预算的，视为采购项目未超预算。</w:t>
      </w:r>
    </w:p>
    <w:p>
      <w:pPr>
        <w:pStyle w:val="8"/>
        <w:keepNext w:val="0"/>
        <w:keepLines w:val="0"/>
        <w:adjustRightInd w:val="0"/>
        <w:snapToGrid w:val="0"/>
        <w:ind w:firstLine="560" w:firstLineChars="200"/>
        <w:rPr>
          <w:rFonts w:ascii="黑体" w:hAnsi="黑体"/>
          <w:b w:val="0"/>
        </w:rPr>
      </w:pPr>
      <w:r>
        <w:rPr>
          <w:rFonts w:hint="eastAsia" w:ascii="黑体" w:hAnsi="黑体"/>
          <w:b w:val="0"/>
        </w:rPr>
        <w:t>31.汇总得分</w:t>
      </w:r>
    </w:p>
    <w:p>
      <w:pPr>
        <w:pStyle w:val="20"/>
        <w:spacing w:line="560" w:lineRule="exact"/>
        <w:ind w:firstLine="560" w:firstLineChars="200"/>
        <w:rPr>
          <w:rFonts w:hint="eastAsia"/>
        </w:rPr>
      </w:pPr>
      <w:r>
        <w:rPr>
          <w:rFonts w:hint="eastAsia"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pPr>
        <w:pStyle w:val="8"/>
        <w:keepNext w:val="0"/>
        <w:keepLines w:val="0"/>
        <w:adjustRightInd w:val="0"/>
        <w:snapToGrid w:val="0"/>
        <w:ind w:firstLine="560" w:firstLineChars="200"/>
        <w:rPr>
          <w:rFonts w:ascii="黑体" w:hAnsi="黑体"/>
          <w:b w:val="0"/>
        </w:rPr>
      </w:pPr>
      <w:r>
        <w:rPr>
          <w:rFonts w:hint="eastAsia" w:ascii="黑体" w:hAnsi="黑体"/>
          <w:b w:val="0"/>
        </w:rPr>
        <w:t>32.复核评审结果</w:t>
      </w:r>
    </w:p>
    <w:p>
      <w:pPr>
        <w:adjustRightInd w:val="0"/>
        <w:snapToGrid w:val="0"/>
        <w:spacing w:line="560" w:lineRule="exact"/>
        <w:ind w:firstLine="560" w:firstLineChars="200"/>
        <w:rPr>
          <w:rFonts w:hint="eastAsia" w:ascii="宋体" w:hAnsi="宋体"/>
          <w:bCs/>
          <w:sz w:val="28"/>
          <w:szCs w:val="28"/>
        </w:rPr>
      </w:pPr>
      <w:r>
        <w:rPr>
          <w:rFonts w:hint="eastAsia" w:asciiTheme="minorEastAsia" w:hAnsiTheme="minorEastAsia" w:eastAsiaTheme="minorEastAsia"/>
          <w:bCs/>
          <w:sz w:val="28"/>
          <w:szCs w:val="28"/>
        </w:rPr>
        <w:t>32.1</w:t>
      </w:r>
      <w:r>
        <w:rPr>
          <w:rFonts w:hint="eastAsia" w:ascii="宋体" w:hAnsi="宋体"/>
          <w:bCs/>
          <w:sz w:val="28"/>
          <w:szCs w:val="28"/>
        </w:rPr>
        <w:t>评审委员会对评审评分情况核对，重点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hint="eastAsia" w:ascii="宋体" w:hAnsi="宋体"/>
          <w:bCs/>
          <w:sz w:val="28"/>
          <w:szCs w:val="28"/>
        </w:rPr>
        <w:t>。</w:t>
      </w:r>
    </w:p>
    <w:p>
      <w:pPr>
        <w:adjustRightInd w:val="0"/>
        <w:snapToGrid w:val="0"/>
        <w:spacing w:line="560" w:lineRule="exact"/>
        <w:ind w:firstLine="560" w:firstLineChars="200"/>
        <w:rPr>
          <w:rFonts w:hint="eastAsia" w:ascii="宋体" w:hAnsi="宋体"/>
          <w:bCs/>
          <w:sz w:val="28"/>
          <w:szCs w:val="28"/>
        </w:rPr>
      </w:pPr>
      <w:r>
        <w:rPr>
          <w:rFonts w:hint="eastAsia"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pPr>
        <w:pStyle w:val="8"/>
        <w:keepNext w:val="0"/>
        <w:keepLines w:val="0"/>
        <w:adjustRightInd w:val="0"/>
        <w:snapToGrid w:val="0"/>
        <w:ind w:firstLine="560" w:firstLineChars="200"/>
        <w:rPr>
          <w:rFonts w:hint="eastAsia" w:ascii="黑体" w:hAnsi="黑体"/>
          <w:b w:val="0"/>
        </w:rPr>
      </w:pPr>
      <w:bookmarkStart w:id="173" w:name="_Toc20681"/>
      <w:bookmarkStart w:id="174" w:name="_Toc14049"/>
      <w:bookmarkStart w:id="175" w:name="_Toc4538"/>
      <w:bookmarkStart w:id="176" w:name="_Toc11969"/>
      <w:r>
        <w:rPr>
          <w:rFonts w:hint="eastAsia" w:ascii="黑体" w:hAnsi="黑体"/>
          <w:b w:val="0"/>
        </w:rPr>
        <w:t>33.推荐预中标供应商</w:t>
      </w:r>
      <w:bookmarkEnd w:id="173"/>
      <w:bookmarkEnd w:id="174"/>
      <w:bookmarkEnd w:id="175"/>
      <w:bookmarkEnd w:id="176"/>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评审委员会依据经过复核的评审结果，对投标供应商进行排序并推荐预中标供应商。</w:t>
      </w:r>
    </w:p>
    <w:p>
      <w:pPr>
        <w:adjustRightInd w:val="0"/>
        <w:snapToGrid w:val="0"/>
        <w:spacing w:line="560" w:lineRule="exact"/>
        <w:ind w:firstLine="560" w:firstLineChars="200"/>
        <w:rPr>
          <w:rFonts w:hint="eastAsia"/>
          <w:sz w:val="21"/>
        </w:rPr>
      </w:pPr>
      <w:r>
        <w:rPr>
          <w:rFonts w:hint="eastAsia" w:ascii="宋体" w:hAnsi="宋体"/>
          <w:bCs/>
          <w:sz w:val="28"/>
          <w:szCs w:val="28"/>
        </w:rPr>
        <w:t>33.1采用综合评分法、质量优先法评审时，评审委员会按照商务、技术和价格评审总得分由高到低顺序排列，得分最高的投标供应商作为预中标供应商；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pPr>
        <w:adjustRightInd w:val="0"/>
        <w:snapToGrid w:val="0"/>
        <w:spacing w:line="560" w:lineRule="exact"/>
        <w:ind w:firstLine="560" w:firstLineChars="200"/>
      </w:pPr>
      <w:r>
        <w:rPr>
          <w:rFonts w:hint="eastAsia" w:ascii="宋体" w:hAnsi="宋体"/>
          <w:bCs/>
          <w:sz w:val="28"/>
          <w:szCs w:val="28"/>
        </w:rPr>
        <w:t>采用经评审的最低价法时，评审委员会将有效投标报价由低到高顺序排列。最低报价的投标供应商作为预中标供应商。报价相同的，按照技术指标优劣顺序排序；无法按照技术指标优劣顺序排序的，按照专用文件规定的方式推荐预中标供应商。</w:t>
      </w:r>
      <w:r>
        <w:rPr>
          <w:rFonts w:hint="eastAsia" w:ascii="仿宋_GB2312" w:hAnsi="仿宋"/>
          <w:bCs/>
          <w:sz w:val="28"/>
          <w:szCs w:val="36"/>
        </w:rPr>
        <w:t>专用文件未明确的，采取随机抽取方式确定。</w:t>
      </w:r>
      <w:r>
        <w:rPr>
          <w:rFonts w:hint="eastAsia" w:ascii="宋体" w:hAnsi="宋体"/>
          <w:bCs/>
          <w:sz w:val="28"/>
          <w:szCs w:val="28"/>
        </w:rPr>
        <w:t>评审委员会认定为低价恶意竞争的，视为无效投标。</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33.2投标供应商报价高于全体有效投标供应商平均报价40%以上的，不得推荐为预中标供应商。采用综合评分法或质量优先法评审时，投标供应商的商务和技术得分低于所有有效投标供应商商务和技术得分平均值30%以上的投标供应商，不得推荐为预中标供应商。</w:t>
      </w:r>
    </w:p>
    <w:p>
      <w:pPr>
        <w:pStyle w:val="20"/>
        <w:spacing w:line="560" w:lineRule="exact"/>
        <w:ind w:firstLine="560" w:firstLineChars="200"/>
        <w:rPr>
          <w:rFonts w:hint="eastAsia" w:ascii="宋体" w:hAnsi="宋体"/>
          <w:sz w:val="28"/>
          <w:szCs w:val="28"/>
        </w:rPr>
      </w:pPr>
      <w:r>
        <w:rPr>
          <w:rFonts w:hint="eastAsia" w:ascii="宋体" w:hAnsi="宋体"/>
          <w:sz w:val="28"/>
          <w:szCs w:val="28"/>
        </w:rPr>
        <w:t>33.3中标供应商数量、价格</w:t>
      </w:r>
    </w:p>
    <w:p>
      <w:pPr>
        <w:pStyle w:val="20"/>
        <w:spacing w:line="560" w:lineRule="exact"/>
        <w:ind w:firstLine="560" w:firstLineChars="200"/>
        <w:rPr>
          <w:rFonts w:hint="eastAsia" w:ascii="仿宋_GB2312" w:hAnsi="仿宋"/>
          <w:sz w:val="28"/>
          <w:szCs w:val="28"/>
        </w:rPr>
      </w:pPr>
      <w:r>
        <w:rPr>
          <w:rFonts w:hint="eastAsia" w:ascii="仿宋_GB2312" w:hAnsi="仿宋"/>
          <w:sz w:val="28"/>
          <w:szCs w:val="28"/>
        </w:rPr>
        <w:t>同一品种物资项目通常不得分包，但采购数量金额大或保障范围广，且1家供应商履约能力无法满足要求的</w:t>
      </w:r>
      <w:r>
        <w:rPr>
          <w:rFonts w:hint="eastAsia" w:ascii="宋体" w:hAnsi="宋体"/>
          <w:sz w:val="28"/>
          <w:szCs w:val="28"/>
        </w:rPr>
        <w:t>，可以一包选取2家以上中标供应商，</w:t>
      </w:r>
      <w:r>
        <w:rPr>
          <w:rFonts w:hint="eastAsia" w:ascii="仿宋_GB2312" w:hAnsi="仿宋"/>
          <w:sz w:val="28"/>
          <w:szCs w:val="28"/>
        </w:rPr>
        <w:t>依据排名依次递减的原则确定承担任务数量或范围；也可以分成多包，每包确定1家供应商。采购机构应当在招标文件中载明中标供应商数量、承担任务的数量或范围。具体要求见招标公告。</w:t>
      </w:r>
    </w:p>
    <w:p>
      <w:pPr>
        <w:adjustRightInd w:val="0"/>
        <w:snapToGrid w:val="0"/>
        <w:spacing w:line="560" w:lineRule="exact"/>
        <w:ind w:firstLine="560" w:firstLineChars="200"/>
        <w:rPr>
          <w:rFonts w:hint="eastAsia"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应商数量通常为中标数量的3倍以上；不足3倍但达到2倍的，按照本章第20.4条规定执行；不足2倍的，重新组织采购。经评审符合要求的投标供应商数量通常为中标数量的2倍以上；不足2倍但达到1.5倍的，采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中标供应商可以执行各自报价，或按照下列方式处理：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（1）报价高于或等于第一名预中标供应商的，中标价格执行第一名预中标供应商报价，报价低于第一名中标供应商的，执行各自报价；</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（2）预中标供应商不接受第一名预中标供应商报价的，视为放弃中标资格，其放弃的数量，按照评审排名，从第一名开始，依次商投标供应商承担。</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多家投标供应商中标价格确定方式应当唯一，具体方式见招标文件专用文件。</w:t>
      </w:r>
    </w:p>
    <w:p>
      <w:pPr>
        <w:pStyle w:val="8"/>
        <w:keepNext w:val="0"/>
        <w:keepLines w:val="0"/>
        <w:adjustRightInd w:val="0"/>
        <w:snapToGrid w:val="0"/>
        <w:ind w:firstLine="560" w:firstLineChars="200"/>
        <w:rPr>
          <w:rFonts w:hint="eastAsia" w:ascii="黑体" w:hAnsi="黑体"/>
          <w:b w:val="0"/>
        </w:rPr>
      </w:pPr>
      <w:r>
        <w:rPr>
          <w:rFonts w:hint="eastAsia" w:ascii="黑体" w:hAnsi="黑体"/>
          <w:b w:val="0"/>
        </w:rPr>
        <w:t>34.出具评审报告</w:t>
      </w:r>
    </w:p>
    <w:p>
      <w:pPr>
        <w:adjustRightInd w:val="0"/>
        <w:snapToGrid w:val="0"/>
        <w:spacing w:line="560" w:lineRule="exact"/>
        <w:ind w:firstLine="560" w:firstLineChars="200"/>
        <w:rPr>
          <w:rFonts w:hint="eastAsia"/>
        </w:rPr>
      </w:pPr>
      <w:r>
        <w:rPr>
          <w:rFonts w:hint="eastAsia"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pPr>
        <w:pStyle w:val="8"/>
        <w:keepNext w:val="0"/>
        <w:keepLines w:val="0"/>
        <w:adjustRightInd w:val="0"/>
        <w:snapToGrid w:val="0"/>
        <w:ind w:firstLine="560" w:firstLineChars="200"/>
        <w:rPr>
          <w:rFonts w:ascii="黑体" w:hAnsi="黑体"/>
          <w:b w:val="0"/>
        </w:rPr>
      </w:pPr>
      <w:r>
        <w:rPr>
          <w:rFonts w:hint="eastAsia" w:ascii="黑体" w:hAnsi="黑体"/>
          <w:b w:val="0"/>
        </w:rPr>
        <w:t>35.宣布评审结果</w:t>
      </w:r>
    </w:p>
    <w:p>
      <w:pPr>
        <w:adjustRightInd w:val="0"/>
        <w:snapToGrid w:val="0"/>
        <w:spacing w:line="560" w:lineRule="exact"/>
        <w:ind w:firstLine="560" w:firstLineChars="200"/>
        <w:rPr>
          <w:rFonts w:hint="eastAsia" w:ascii="宋体" w:hAnsi="宋体"/>
          <w:bCs/>
          <w:sz w:val="28"/>
          <w:szCs w:val="28"/>
        </w:rPr>
      </w:pPr>
      <w:r>
        <w:rPr>
          <w:rFonts w:hint="eastAsia"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pPr>
        <w:pStyle w:val="8"/>
        <w:keepNext w:val="0"/>
        <w:keepLines w:val="0"/>
        <w:adjustRightInd w:val="0"/>
        <w:snapToGrid w:val="0"/>
        <w:ind w:firstLine="560" w:firstLineChars="200"/>
        <w:rPr>
          <w:rFonts w:hint="eastAsia" w:ascii="黑体" w:hAnsi="黑体"/>
          <w:b w:val="0"/>
        </w:rPr>
      </w:pPr>
      <w:bookmarkStart w:id="177" w:name="_Toc25551"/>
      <w:bookmarkStart w:id="178" w:name="_Toc2853"/>
      <w:bookmarkStart w:id="179" w:name="_Toc8122"/>
      <w:bookmarkStart w:id="180" w:name="_Toc7662"/>
      <w:r>
        <w:rPr>
          <w:rFonts w:hint="eastAsia" w:ascii="黑体" w:hAnsi="黑体"/>
          <w:b w:val="0"/>
        </w:rPr>
        <w:t>36.无效投标</w:t>
      </w:r>
      <w:bookmarkEnd w:id="177"/>
      <w:bookmarkEnd w:id="178"/>
      <w:bookmarkEnd w:id="179"/>
      <w:bookmarkEnd w:id="180"/>
    </w:p>
    <w:p>
      <w:pPr>
        <w:pStyle w:val="87"/>
        <w:adjustRightInd w:val="0"/>
        <w:snapToGrid w:val="0"/>
        <w:spacing w:line="560" w:lineRule="exact"/>
        <w:ind w:firstLine="560"/>
        <w:rPr>
          <w:rFonts w:hint="eastAsia" w:ascii="宋体" w:hAnsi="宋体"/>
          <w:bCs/>
          <w:sz w:val="28"/>
          <w:szCs w:val="28"/>
          <w:lang w:eastAsia="zh-CN"/>
        </w:rPr>
      </w:pPr>
      <w:r>
        <w:rPr>
          <w:rFonts w:hint="eastAsia" w:ascii="宋体" w:hAnsi="宋体"/>
          <w:bCs/>
          <w:sz w:val="28"/>
          <w:szCs w:val="28"/>
          <w:lang w:eastAsia="zh-CN"/>
        </w:rPr>
        <w:t>36.1在资格性审查过程中，有下列情形之一者，</w:t>
      </w:r>
      <w:r>
        <w:rPr>
          <w:rFonts w:hint="eastAsia" w:ascii="仿宋_GB2312" w:hAnsi="仿宋"/>
          <w:bCs/>
          <w:sz w:val="28"/>
          <w:szCs w:val="28"/>
          <w:lang w:eastAsia="zh-CN"/>
        </w:rPr>
        <w:t>按照无效投标处理</w:t>
      </w:r>
      <w:r>
        <w:rPr>
          <w:rFonts w:hint="eastAsia" w:ascii="宋体" w:hAnsi="宋体"/>
          <w:bCs/>
          <w:sz w:val="28"/>
          <w:szCs w:val="28"/>
          <w:lang w:eastAsia="zh-CN"/>
        </w:rPr>
        <w:t>，但符合本文件第37条规定的情形除外：</w:t>
      </w:r>
    </w:p>
    <w:p>
      <w:pPr>
        <w:pStyle w:val="87"/>
        <w:adjustRightInd w:val="0"/>
        <w:snapToGrid w:val="0"/>
        <w:spacing w:line="560" w:lineRule="exact"/>
        <w:ind w:firstLine="560"/>
        <w:rPr>
          <w:rFonts w:hint="eastAsia" w:ascii="宋体" w:hAnsi="宋体"/>
          <w:bCs/>
          <w:sz w:val="28"/>
          <w:szCs w:val="28"/>
          <w:lang w:eastAsia="zh-CN"/>
        </w:rPr>
      </w:pPr>
      <w:r>
        <w:rPr>
          <w:rFonts w:hint="eastAsia" w:ascii="宋体" w:hAnsi="宋体"/>
          <w:bCs/>
          <w:sz w:val="28"/>
          <w:szCs w:val="28"/>
          <w:lang w:eastAsia="zh-CN"/>
        </w:rPr>
        <w:t>（1）未按照招标文件要求密封的；</w:t>
      </w:r>
    </w:p>
    <w:p>
      <w:pPr>
        <w:spacing w:line="560" w:lineRule="exact"/>
        <w:ind w:firstLine="560" w:firstLineChars="200"/>
        <w:rPr>
          <w:rFonts w:hint="eastAsia" w:ascii="宋体" w:hAnsi="宋体"/>
          <w:bCs/>
          <w:sz w:val="28"/>
          <w:szCs w:val="28"/>
        </w:rPr>
      </w:pPr>
      <w:r>
        <w:rPr>
          <w:rFonts w:hint="eastAsia" w:ascii="宋体" w:hAnsi="宋体"/>
          <w:bCs/>
          <w:sz w:val="28"/>
          <w:szCs w:val="28"/>
        </w:rPr>
        <w:t>（2）不具备招标文件中规定的资格性要求的；</w:t>
      </w:r>
    </w:p>
    <w:p>
      <w:pPr>
        <w:spacing w:line="560" w:lineRule="exact"/>
        <w:ind w:firstLine="560" w:firstLineChars="200"/>
        <w:rPr>
          <w:rFonts w:hint="eastAsia" w:ascii="宋体" w:hAnsi="宋体"/>
          <w:bCs/>
          <w:sz w:val="28"/>
          <w:szCs w:val="28"/>
        </w:rPr>
      </w:pPr>
      <w:r>
        <w:rPr>
          <w:rFonts w:hint="eastAsia" w:ascii="宋体" w:hAnsi="宋体"/>
          <w:bCs/>
          <w:sz w:val="28"/>
          <w:szCs w:val="28"/>
        </w:rPr>
        <w:t>（3）法定代表人授权不符合要求的；</w:t>
      </w:r>
    </w:p>
    <w:p>
      <w:pPr>
        <w:spacing w:line="560" w:lineRule="exact"/>
        <w:ind w:firstLine="560" w:firstLineChars="200"/>
        <w:rPr>
          <w:rFonts w:hint="eastAsia" w:ascii="宋体" w:hAnsi="宋体"/>
          <w:bCs/>
          <w:sz w:val="28"/>
          <w:szCs w:val="28"/>
        </w:rPr>
      </w:pPr>
      <w:r>
        <w:rPr>
          <w:rFonts w:hint="eastAsia" w:ascii="宋体" w:hAnsi="宋体"/>
          <w:bCs/>
          <w:sz w:val="28"/>
          <w:szCs w:val="28"/>
        </w:rPr>
        <w:t>（4）属于禁止参加投标供应商的；</w:t>
      </w:r>
    </w:p>
    <w:p>
      <w:pPr>
        <w:spacing w:line="560" w:lineRule="exact"/>
        <w:ind w:firstLine="560" w:firstLineChars="200"/>
        <w:rPr>
          <w:rFonts w:hint="eastAsia" w:ascii="宋体" w:hAnsi="宋体"/>
          <w:bCs/>
          <w:sz w:val="28"/>
          <w:szCs w:val="28"/>
        </w:rPr>
      </w:pPr>
      <w:r>
        <w:rPr>
          <w:rFonts w:hint="eastAsia" w:ascii="宋体" w:hAnsi="宋体"/>
          <w:bCs/>
          <w:sz w:val="28"/>
          <w:szCs w:val="28"/>
        </w:rPr>
        <w:t>（5）未按照规定交纳投标保证金的；</w:t>
      </w:r>
    </w:p>
    <w:p>
      <w:pPr>
        <w:adjustRightInd w:val="0"/>
        <w:snapToGrid w:val="0"/>
        <w:spacing w:line="560" w:lineRule="exact"/>
        <w:ind w:firstLine="560" w:firstLineChars="200"/>
        <w:rPr>
          <w:rFonts w:hint="eastAsia" w:ascii="宋体" w:hAnsi="宋体"/>
          <w:bCs/>
          <w:kern w:val="2"/>
          <w:sz w:val="28"/>
          <w:szCs w:val="28"/>
        </w:rPr>
      </w:pPr>
      <w:r>
        <w:rPr>
          <w:rFonts w:hint="eastAsia" w:ascii="宋体" w:hAnsi="宋体"/>
          <w:bCs/>
          <w:sz w:val="28"/>
          <w:szCs w:val="28"/>
        </w:rPr>
        <w:t>（6）不符合国家和军队法律法规规定的资格性要求的。</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36.2在符合性审查过程中，有下列情形之一者，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，但符合本文件第37条规定的情形除外：</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（1）</w:t>
      </w:r>
      <w:r>
        <w:rPr>
          <w:rFonts w:hint="eastAsia" w:ascii="仿宋_GB2312" w:hAnsi="仿宋" w:cs="仿宋"/>
          <w:bCs/>
          <w:sz w:val="28"/>
          <w:szCs w:val="28"/>
        </w:rPr>
        <w:t>未按照招标文件要求签署、盖章的；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（2）</w:t>
      </w:r>
      <w:r>
        <w:rPr>
          <w:rFonts w:hint="eastAsia" w:ascii="仿宋_GB2312" w:hAnsi="仿宋" w:cs="仿宋"/>
          <w:bCs/>
          <w:sz w:val="28"/>
          <w:szCs w:val="28"/>
        </w:rPr>
        <w:t>投标有效期不符合招标文件要求的；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（3）</w:t>
      </w:r>
      <w:r>
        <w:rPr>
          <w:rFonts w:hint="eastAsia" w:ascii="仿宋_GB2312" w:hAnsi="仿宋" w:cs="仿宋"/>
          <w:bCs/>
          <w:sz w:val="28"/>
          <w:szCs w:val="28"/>
        </w:rPr>
        <w:t>技术和商务的实质性条款不满足招标文件要求的；</w:t>
      </w:r>
    </w:p>
    <w:p>
      <w:pPr>
        <w:pStyle w:val="80"/>
        <w:adjustRightInd w:val="0"/>
        <w:snapToGrid w:val="0"/>
        <w:spacing w:line="560" w:lineRule="exact"/>
        <w:ind w:firstLine="560"/>
        <w:rPr>
          <w:rFonts w:hint="eastAsia" w:ascii="仿宋_GB2312" w:hAnsi="仿宋" w:cs="仿宋"/>
          <w:bCs/>
          <w:sz w:val="28"/>
          <w:szCs w:val="28"/>
          <w:lang w:eastAsia="zh-CN"/>
        </w:rPr>
      </w:pPr>
      <w:r>
        <w:rPr>
          <w:rFonts w:hint="eastAsia" w:ascii="宋体" w:hAnsi="宋体"/>
          <w:bCs/>
          <w:sz w:val="28"/>
          <w:szCs w:val="28"/>
          <w:lang w:eastAsia="zh-CN"/>
        </w:rPr>
        <w:t>（4）其他</w:t>
      </w:r>
      <w:r>
        <w:rPr>
          <w:rFonts w:hint="eastAsia" w:ascii="仿宋_GB2312" w:hAnsi="仿宋" w:cs="仿宋"/>
          <w:bCs/>
          <w:sz w:val="28"/>
          <w:szCs w:val="28"/>
          <w:lang w:eastAsia="zh-CN"/>
        </w:rPr>
        <w:t>不满足招标文件载明的符合性要求的。</w:t>
      </w:r>
    </w:p>
    <w:p>
      <w:pPr>
        <w:spacing w:line="580" w:lineRule="exact"/>
        <w:ind w:firstLine="560" w:firstLineChars="200"/>
        <w:rPr>
          <w:rFonts w:hint="eastAsia" w:ascii="宋体" w:hAnsi="宋体"/>
          <w:sz w:val="28"/>
          <w:szCs w:val="28"/>
        </w:rPr>
      </w:pPr>
      <w:r>
        <w:rPr>
          <w:rFonts w:hint="eastAsia" w:ascii="宋体" w:hAnsi="宋体"/>
          <w:bCs/>
          <w:sz w:val="28"/>
          <w:szCs w:val="28"/>
        </w:rPr>
        <w:t>36.3</w:t>
      </w:r>
      <w:r>
        <w:rPr>
          <w:rFonts w:hint="eastAsia" w:ascii="宋体" w:hAnsi="宋体"/>
          <w:sz w:val="28"/>
          <w:szCs w:val="28"/>
        </w:rPr>
        <w:t>有下列情形之一的，属于投标供应商相互串通投标，按照无效投标处理：</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（1）投标供应商之间约定中标供应商的；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（2）投标供应商之间约定部分放弃投标或中标的；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（3）同一集团成员的投标供应商按照该集团要求协同投标的；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（4）投标供应商之间为谋取中标或排斥特定投标供应商而采取其他联合行动的；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（5）国家和军队法律法规规定的其他情形。</w:t>
      </w:r>
    </w:p>
    <w:p>
      <w:pPr>
        <w:spacing w:line="560" w:lineRule="exact"/>
        <w:ind w:firstLine="560" w:firstLineChars="200"/>
        <w:rPr>
          <w:rFonts w:hint="eastAsia" w:ascii="宋体" w:hAnsi="宋体"/>
          <w:sz w:val="28"/>
          <w:szCs w:val="28"/>
        </w:rPr>
      </w:pPr>
      <w:r>
        <w:rPr>
          <w:rFonts w:hint="eastAsia" w:ascii="宋体" w:hAnsi="宋体"/>
          <w:sz w:val="28"/>
          <w:szCs w:val="28"/>
        </w:rPr>
        <w:t>36.4有下列情形之一的，视为投标供应商相互串通投标，按照无效投标处理：</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（1）不同投标供应商的投标文件由同一单位或个人编制的，以及投标使用同一加密锁或具有相同Mac地址的；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（2）不同投标供应商委托同一单位或个人办理投标事宜的；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（3）不同投标供应商的投标文件载明的项目管理成员为同一人的；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（4）不同投标供应商的投标文件异常一致或投标呈规律性差异的；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（5）不同投标供应商的投标文件混装、签章混用的；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（6）不同投标供应商的投标保证金从同一单位或个人的账户转出的；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（7）国家和军队法律法规规定的其他情形。</w:t>
      </w:r>
    </w:p>
    <w:p>
      <w:pPr>
        <w:spacing w:line="560" w:lineRule="exact"/>
        <w:ind w:firstLine="560" w:firstLineChars="200"/>
        <w:rPr>
          <w:rFonts w:hint="eastAsia" w:ascii="宋体" w:hAnsi="宋体"/>
          <w:sz w:val="28"/>
          <w:szCs w:val="28"/>
        </w:rPr>
      </w:pPr>
      <w:r>
        <w:rPr>
          <w:rFonts w:hint="eastAsia" w:ascii="宋体" w:hAnsi="宋体"/>
          <w:sz w:val="28"/>
          <w:szCs w:val="28"/>
        </w:rPr>
        <w:t>36.5有下列情形之一的，属于采购机构、采购单位与投标供应商串通投标，按照无效投标处理：</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（1）在开标前开启投标文件并将有关信息泄露给其他投标供应商的；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（2）直接或间接向投标供应商泄露评审委员会成员信息的；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（3）明示或暗示投标供应商压低或抬高投标价格的；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（4）授意投标供应商撤换、修改投标文件的；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（5）明示或暗示投标供应商为特定投标供应商中标提供方便的；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（6）明示或暗示评审委员会为特定投标供应商中标提供方便的；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（7）在开标前与投标供应商就采购项目进行实质性谈判的；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（8）与投标供应商为谋求特定投标供应商中标而采取其他串通行为的；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（9）国家和军队法律法规规定的其他情形。</w:t>
      </w:r>
    </w:p>
    <w:p>
      <w:pPr>
        <w:spacing w:line="560" w:lineRule="exact"/>
        <w:ind w:firstLine="560" w:firstLineChars="200"/>
        <w:rPr>
          <w:rFonts w:hint="eastAsia" w:ascii="宋体" w:hAnsi="宋体"/>
          <w:sz w:val="28"/>
          <w:szCs w:val="28"/>
        </w:rPr>
      </w:pPr>
      <w:r>
        <w:rPr>
          <w:rFonts w:hint="eastAsia" w:ascii="宋体" w:hAnsi="宋体"/>
          <w:sz w:val="28"/>
          <w:szCs w:val="28"/>
        </w:rPr>
        <w:t>36.6有下列情形之一的，属于虚假投标，按照无效投标处理：</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（1）使用通过受让或租借等方式获取资格、资质证书的；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（2）使用伪造证书、证件或印章的；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（3）提供虚假财务状况、检测报告、业绩或发票的；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（4）提供虚假项目负责人或主要技术人员简历、劳动关系证明的；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（5）提供虚假信用状况的；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（6）提供虚假样品或借用、冒用其他投标供应商样品的；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（7）存在其他弄虚作假行为的；</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（8）国家和军队法律法规规定的其他情形。</w:t>
      </w:r>
    </w:p>
    <w:p>
      <w:pPr>
        <w:spacing w:line="560" w:lineRule="exact"/>
        <w:ind w:firstLine="560" w:firstLineChars="200"/>
        <w:rPr>
          <w:rFonts w:hint="eastAsia" w:ascii="宋体" w:hAnsi="宋体" w:cs="仿宋"/>
          <w:sz w:val="28"/>
          <w:szCs w:val="28"/>
        </w:rPr>
      </w:pPr>
      <w:r>
        <w:rPr>
          <w:rFonts w:hint="eastAsia" w:ascii="宋体" w:hAnsi="宋体" w:cs="仿宋"/>
          <w:sz w:val="28"/>
          <w:szCs w:val="28"/>
        </w:rPr>
        <w:t>36.7招标文件中明确的其他应当视为无效投标的情形。</w:t>
      </w:r>
    </w:p>
    <w:p>
      <w:pPr>
        <w:pStyle w:val="8"/>
        <w:keepNext w:val="0"/>
        <w:keepLines w:val="0"/>
        <w:adjustRightInd w:val="0"/>
        <w:snapToGrid w:val="0"/>
        <w:ind w:firstLine="560" w:firstLineChars="200"/>
        <w:rPr>
          <w:rFonts w:hint="eastAsia" w:ascii="黑体" w:hAnsi="黑体"/>
          <w:b w:val="0"/>
        </w:rPr>
      </w:pPr>
      <w:r>
        <w:rPr>
          <w:rFonts w:hint="eastAsia" w:ascii="黑体" w:hAnsi="黑体"/>
          <w:b w:val="0"/>
        </w:rPr>
        <w:t>37.通过资格性、符合性审查的特殊情形</w:t>
      </w:r>
    </w:p>
    <w:p>
      <w:pPr>
        <w:pStyle w:val="80"/>
        <w:spacing w:line="560" w:lineRule="exact"/>
        <w:ind w:firstLine="560"/>
        <w:rPr>
          <w:rFonts w:hint="eastAsia" w:ascii="宋体" w:hAnsi="宋体"/>
          <w:sz w:val="28"/>
          <w:szCs w:val="28"/>
          <w:lang w:eastAsia="zh-CN"/>
        </w:rPr>
      </w:pPr>
      <w:r>
        <w:rPr>
          <w:rFonts w:hint="eastAsia" w:ascii="宋体" w:hAnsi="宋体"/>
          <w:sz w:val="28"/>
          <w:szCs w:val="28"/>
          <w:lang w:eastAsia="zh-CN"/>
        </w:rPr>
        <w:t>37.1投标文件有下列情形，但其他方面符合要求，应当认定通过资格性、符合性审查：</w:t>
      </w:r>
    </w:p>
    <w:p>
      <w:pPr>
        <w:pStyle w:val="80"/>
        <w:spacing w:line="560" w:lineRule="exact"/>
        <w:ind w:firstLine="560"/>
        <w:rPr>
          <w:rFonts w:hint="eastAsia" w:ascii="宋体" w:hAnsi="宋体"/>
          <w:sz w:val="28"/>
          <w:szCs w:val="28"/>
          <w:lang w:eastAsia="zh-CN"/>
        </w:rPr>
      </w:pPr>
      <w:r>
        <w:rPr>
          <w:rFonts w:hint="eastAsia" w:ascii="宋体" w:hAnsi="宋体"/>
          <w:sz w:val="28"/>
          <w:szCs w:val="28"/>
          <w:lang w:eastAsia="zh-CN"/>
        </w:rPr>
        <w:t>（1）密封时未加盖、少加盖公章或密封章，但密封完好、完整标明了投标供应商名称且得到投标供应商现场认可的；</w:t>
      </w:r>
    </w:p>
    <w:p>
      <w:pPr>
        <w:spacing w:line="560" w:lineRule="exact"/>
        <w:ind w:firstLine="560" w:firstLineChars="200"/>
        <w:rPr>
          <w:rFonts w:hint="eastAsia" w:ascii="宋体" w:hAnsi="宋体"/>
          <w:sz w:val="28"/>
          <w:szCs w:val="28"/>
        </w:rPr>
      </w:pPr>
      <w:r>
        <w:rPr>
          <w:rFonts w:hint="eastAsia" w:ascii="宋体" w:hAnsi="宋体"/>
          <w:sz w:val="28"/>
          <w:szCs w:val="28"/>
        </w:rPr>
        <w:t>（2）正副本数量齐全、密封完好，但未按照招标文件要求进行分装或统装的；</w:t>
      </w:r>
    </w:p>
    <w:p>
      <w:pPr>
        <w:spacing w:line="560" w:lineRule="exact"/>
        <w:ind w:firstLine="560" w:firstLineChars="200"/>
        <w:rPr>
          <w:rFonts w:hint="eastAsia" w:ascii="宋体" w:hAnsi="宋体"/>
          <w:sz w:val="28"/>
          <w:szCs w:val="28"/>
        </w:rPr>
      </w:pPr>
      <w:r>
        <w:rPr>
          <w:rFonts w:hint="eastAsia" w:ascii="宋体" w:hAnsi="宋体"/>
          <w:sz w:val="28"/>
          <w:szCs w:val="28"/>
        </w:rPr>
        <w:t>（3）除招标文件规定要求法定代表人或授权代表签字以外，其他未签字的；</w:t>
      </w:r>
    </w:p>
    <w:p>
      <w:pPr>
        <w:spacing w:line="560" w:lineRule="exact"/>
        <w:ind w:firstLine="560" w:firstLineChars="200"/>
        <w:rPr>
          <w:rFonts w:hint="eastAsia" w:ascii="宋体" w:hAnsi="宋体"/>
          <w:sz w:val="28"/>
          <w:szCs w:val="28"/>
        </w:rPr>
      </w:pPr>
      <w:r>
        <w:rPr>
          <w:rFonts w:hint="eastAsia" w:ascii="宋体" w:hAnsi="宋体"/>
          <w:sz w:val="28"/>
          <w:szCs w:val="28"/>
        </w:rPr>
        <w:t>（4）除招标文件规定要求加盖投标供应商等公章以外，其他未盖章或加盖相关专用章的；</w:t>
      </w:r>
    </w:p>
    <w:p>
      <w:pPr>
        <w:spacing w:line="560" w:lineRule="exact"/>
        <w:ind w:firstLine="560" w:firstLineChars="200"/>
        <w:rPr>
          <w:rFonts w:hint="eastAsia"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pPr>
        <w:spacing w:line="560" w:lineRule="exact"/>
        <w:ind w:firstLine="560" w:firstLineChars="200"/>
        <w:rPr>
          <w:rFonts w:hint="eastAsia" w:ascii="宋体" w:hAnsi="宋体"/>
          <w:sz w:val="28"/>
          <w:szCs w:val="28"/>
        </w:rPr>
      </w:pPr>
      <w:r>
        <w:rPr>
          <w:rFonts w:hint="eastAsia" w:ascii="宋体" w:hAnsi="宋体"/>
          <w:sz w:val="28"/>
          <w:szCs w:val="28"/>
        </w:rPr>
        <w:t>评审委员会、采购机构不得将招标文件未明确的内容作为判定供应商无效投标的依据，但违反国家和军队有关法律法规规定的情形除外。</w:t>
      </w:r>
    </w:p>
    <w:p>
      <w:pPr>
        <w:pStyle w:val="8"/>
        <w:keepNext w:val="0"/>
        <w:keepLines w:val="0"/>
        <w:adjustRightInd w:val="0"/>
        <w:snapToGrid w:val="0"/>
        <w:ind w:firstLine="560" w:firstLineChars="200"/>
        <w:rPr>
          <w:rFonts w:hint="eastAsia" w:ascii="黑体" w:hAnsi="黑体"/>
          <w:b w:val="0"/>
        </w:rPr>
      </w:pPr>
      <w:bookmarkStart w:id="181" w:name="_Toc4875"/>
      <w:bookmarkStart w:id="182" w:name="_Toc30788"/>
      <w:bookmarkStart w:id="183" w:name="_Toc24181"/>
      <w:bookmarkStart w:id="184" w:name="_Toc20568"/>
      <w:r>
        <w:rPr>
          <w:rFonts w:hint="eastAsia" w:ascii="黑体" w:hAnsi="黑体"/>
          <w:b w:val="0"/>
        </w:rPr>
        <w:t>38.废标</w:t>
      </w:r>
      <w:bookmarkEnd w:id="181"/>
      <w:bookmarkEnd w:id="182"/>
      <w:bookmarkEnd w:id="183"/>
      <w:bookmarkEnd w:id="184"/>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38.1有下列情形之一的，按照废标处理：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（1）报名参加或实质性响应投标供应商不足3家的，符合本章第20.4条情形的除外；</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（2）出现影响采购公平公正的违法、违规行为的；</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（3）因重大变故，取消采购任务的。</w:t>
      </w:r>
    </w:p>
    <w:p>
      <w:pPr>
        <w:pStyle w:val="8"/>
        <w:keepNext w:val="0"/>
        <w:keepLines w:val="0"/>
        <w:adjustRightInd w:val="0"/>
        <w:snapToGrid w:val="0"/>
        <w:ind w:firstLine="560" w:firstLineChars="200"/>
        <w:rPr>
          <w:rFonts w:hint="eastAsia" w:ascii="黑体" w:hAnsi="黑体"/>
          <w:b w:val="0"/>
        </w:rPr>
      </w:pPr>
      <w:bookmarkStart w:id="185" w:name="_Toc21189"/>
      <w:bookmarkStart w:id="186" w:name="_Toc29718"/>
      <w:bookmarkStart w:id="187" w:name="_Toc15536"/>
      <w:bookmarkStart w:id="188" w:name="_Toc28683"/>
      <w:r>
        <w:rPr>
          <w:rFonts w:hint="eastAsia" w:ascii="黑体" w:hAnsi="黑体"/>
          <w:b w:val="0"/>
        </w:rPr>
        <w:t>39.终止评审</w:t>
      </w:r>
      <w:bookmarkEnd w:id="185"/>
      <w:bookmarkEnd w:id="186"/>
      <w:bookmarkEnd w:id="187"/>
      <w:bookmarkEnd w:id="188"/>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39.1</w:t>
      </w:r>
      <w:r>
        <w:rPr>
          <w:rFonts w:hint="eastAsia" w:ascii="仿宋_GB2312" w:hAnsi="仿宋"/>
          <w:bCs/>
          <w:sz w:val="28"/>
          <w:szCs w:val="28"/>
        </w:rPr>
        <w:t>在评审过程中，有下列情形之一的，评审委员会应当</w:t>
      </w:r>
      <w:bookmarkStart w:id="189" w:name="_Hlk112188545"/>
      <w:r>
        <w:rPr>
          <w:rFonts w:hint="eastAsia" w:ascii="仿宋_GB2312" w:hAnsi="仿宋"/>
          <w:bCs/>
          <w:sz w:val="28"/>
          <w:szCs w:val="28"/>
        </w:rPr>
        <w:t>终止评审</w:t>
      </w:r>
      <w:bookmarkEnd w:id="189"/>
      <w:r>
        <w:rPr>
          <w:rFonts w:hint="eastAsia" w:ascii="仿宋_GB2312" w:hAnsi="仿宋"/>
          <w:bCs/>
          <w:sz w:val="28"/>
          <w:szCs w:val="28"/>
        </w:rPr>
        <w:t>，并书面说明情况：</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（1）</w:t>
      </w:r>
      <w:r>
        <w:rPr>
          <w:rFonts w:hint="eastAsia" w:ascii="仿宋_GB2312" w:hAnsi="仿宋" w:cs="仿宋"/>
          <w:bCs/>
          <w:sz w:val="28"/>
          <w:szCs w:val="28"/>
        </w:rPr>
        <w:t>招标文件存在重大歧义、缺陷，导致评审工作无法进行的；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（2）</w:t>
      </w:r>
      <w:r>
        <w:rPr>
          <w:rFonts w:hint="eastAsia" w:ascii="仿宋_GB2312" w:hAnsi="仿宋" w:cs="仿宋"/>
          <w:bCs/>
          <w:sz w:val="28"/>
          <w:szCs w:val="28"/>
        </w:rPr>
        <w:t>招标文件存在明显的倾向性、排他性或歧视性的；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（3）</w:t>
      </w:r>
      <w:r>
        <w:rPr>
          <w:rFonts w:hint="eastAsia" w:ascii="仿宋_GB2312" w:hAnsi="仿宋" w:cs="仿宋"/>
          <w:bCs/>
          <w:sz w:val="28"/>
          <w:szCs w:val="28"/>
        </w:rPr>
        <w:t>招标文件违反国家和军队强制性规定的；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（4）</w:t>
      </w:r>
      <w:r>
        <w:rPr>
          <w:rFonts w:hint="eastAsia" w:ascii="仿宋_GB2312" w:hAnsi="仿宋" w:cs="仿宋"/>
          <w:bCs/>
          <w:sz w:val="28"/>
          <w:szCs w:val="28"/>
        </w:rPr>
        <w:t>参加投标供应商均不符合相关要求的；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（5）</w:t>
      </w:r>
      <w:r>
        <w:rPr>
          <w:rFonts w:hint="eastAsia" w:ascii="仿宋_GB2312" w:hAnsi="仿宋" w:cs="仿宋"/>
          <w:bCs/>
          <w:sz w:val="28"/>
          <w:szCs w:val="28"/>
        </w:rPr>
        <w:t>投标供应商报价均超预算，且采购单位无法追加预算的；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（6）</w:t>
      </w:r>
      <w:r>
        <w:rPr>
          <w:rFonts w:hint="eastAsia" w:ascii="仿宋_GB2312" w:hAnsi="仿宋" w:cs="仿宋"/>
          <w:bCs/>
          <w:sz w:val="28"/>
          <w:szCs w:val="28"/>
        </w:rPr>
        <w:t>有关投标供应商和个人干预评审委员会依法独立评审的；</w:t>
      </w:r>
    </w:p>
    <w:p>
      <w:pPr>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（7）</w:t>
      </w:r>
      <w:r>
        <w:rPr>
          <w:rFonts w:hint="eastAsia" w:ascii="仿宋_GB2312" w:hAnsi="仿宋" w:cs="仿宋"/>
          <w:bCs/>
          <w:sz w:val="28"/>
          <w:szCs w:val="28"/>
        </w:rPr>
        <w:t>采购活动中出现违法、违规情形的；</w:t>
      </w:r>
    </w:p>
    <w:p>
      <w:pPr>
        <w:tabs>
          <w:tab w:val="left" w:pos="0"/>
        </w:tabs>
        <w:adjustRightInd w:val="0"/>
        <w:snapToGrid w:val="0"/>
        <w:spacing w:line="560" w:lineRule="exact"/>
        <w:ind w:firstLine="560" w:firstLineChars="200"/>
        <w:rPr>
          <w:rFonts w:hint="eastAsia" w:ascii="仿宋_GB2312" w:hAnsi="仿宋" w:cs="仿宋"/>
          <w:bCs/>
          <w:sz w:val="28"/>
          <w:szCs w:val="28"/>
        </w:rPr>
      </w:pPr>
      <w:r>
        <w:rPr>
          <w:rFonts w:hint="eastAsia" w:ascii="宋体" w:hAnsi="宋体"/>
          <w:bCs/>
          <w:sz w:val="28"/>
          <w:szCs w:val="28"/>
        </w:rPr>
        <w:t>（8）</w:t>
      </w:r>
      <w:r>
        <w:rPr>
          <w:rFonts w:hint="eastAsia" w:ascii="仿宋_GB2312" w:hAnsi="仿宋" w:cs="仿宋"/>
          <w:bCs/>
          <w:sz w:val="28"/>
          <w:szCs w:val="28"/>
        </w:rPr>
        <w:t>国家和军队法律法规规定的其他情形。</w:t>
      </w:r>
    </w:p>
    <w:p>
      <w:pPr>
        <w:pStyle w:val="7"/>
        <w:keepNext w:val="0"/>
        <w:keepLines w:val="0"/>
        <w:adjustRightInd w:val="0"/>
        <w:snapToGrid w:val="0"/>
        <w:spacing w:before="120" w:beforeLines="50" w:after="120" w:afterLines="50" w:line="560" w:lineRule="exact"/>
        <w:jc w:val="center"/>
        <w:rPr>
          <w:rFonts w:hint="eastAsia" w:ascii="Times New Roman" w:hAnsi="Times New Roman" w:cs="Times New Roman"/>
          <w:b w:val="0"/>
        </w:rPr>
      </w:pPr>
      <w:bookmarkStart w:id="190" w:name="_Toc26245"/>
      <w:bookmarkStart w:id="191" w:name="_Toc31487"/>
      <w:bookmarkStart w:id="192" w:name="_Toc32353"/>
      <w:bookmarkStart w:id="193" w:name="_Toc112317773"/>
      <w:bookmarkStart w:id="194" w:name="_Toc6307"/>
      <w:bookmarkStart w:id="195" w:name="_Toc132190601"/>
      <w:r>
        <w:rPr>
          <w:rFonts w:hint="eastAsia"/>
          <w:b w:val="0"/>
        </w:rPr>
        <w:t>六、定标</w:t>
      </w:r>
      <w:bookmarkEnd w:id="190"/>
      <w:bookmarkEnd w:id="191"/>
      <w:bookmarkEnd w:id="192"/>
      <w:bookmarkEnd w:id="193"/>
      <w:bookmarkEnd w:id="194"/>
      <w:bookmarkEnd w:id="195"/>
    </w:p>
    <w:p>
      <w:pPr>
        <w:pStyle w:val="8"/>
        <w:keepNext w:val="0"/>
        <w:keepLines w:val="0"/>
        <w:adjustRightInd w:val="0"/>
        <w:snapToGrid w:val="0"/>
        <w:ind w:firstLine="560" w:firstLineChars="200"/>
        <w:rPr>
          <w:rFonts w:ascii="黑体" w:hAnsi="黑体"/>
          <w:b w:val="0"/>
        </w:rPr>
      </w:pPr>
      <w:bookmarkStart w:id="196" w:name="_Toc15909"/>
      <w:bookmarkStart w:id="197" w:name="_Toc23367"/>
      <w:bookmarkStart w:id="198" w:name="_Toc28022"/>
      <w:bookmarkStart w:id="199" w:name="_Toc26800"/>
      <w:r>
        <w:rPr>
          <w:rFonts w:hint="eastAsia" w:ascii="黑体" w:hAnsi="黑体"/>
          <w:b w:val="0"/>
        </w:rPr>
        <w:t>40.中标供应商公示</w:t>
      </w:r>
      <w:bookmarkEnd w:id="196"/>
      <w:bookmarkEnd w:id="197"/>
      <w:bookmarkEnd w:id="198"/>
      <w:bookmarkEnd w:id="199"/>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40.1评审结束后2个工作日内，采购机构在军队采购网（www.plap.mil.cn）上公示评审结果，公示期不少于3个工作日。在公示期内无异议的，采购机构将评审结果报采购单位；有异议的，投标供应商可以依据招标文件规定的方式提出质疑。</w:t>
      </w:r>
    </w:p>
    <w:p>
      <w:pPr>
        <w:adjustRightInd w:val="0"/>
        <w:snapToGrid w:val="0"/>
        <w:spacing w:line="560" w:lineRule="exact"/>
        <w:ind w:firstLine="560" w:firstLineChars="200"/>
        <w:rPr>
          <w:rFonts w:hint="eastAsia"/>
          <w:sz w:val="21"/>
        </w:rPr>
      </w:pPr>
      <w:r>
        <w:rPr>
          <w:rFonts w:hint="eastAsia" w:ascii="宋体" w:hAnsi="宋体"/>
          <w:bCs/>
          <w:sz w:val="28"/>
          <w:szCs w:val="28"/>
        </w:rPr>
        <w:t>40.2中标供应商无正当理由放弃中标的，不予退还投标保证金，由采购管理部门依规处理。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40.3中标供应商出现下列情况之一的，一经查实，将被取消中标资格：</w:t>
      </w:r>
    </w:p>
    <w:p>
      <w:pPr>
        <w:spacing w:line="56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（1）属于招标文件规定的虚假投标的； </w:t>
      </w:r>
    </w:p>
    <w:p>
      <w:pPr>
        <w:spacing w:line="56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（2）向采购单位、采购机构、评审委员会成员行贿或进行其他不正当利益输送的；</w:t>
      </w:r>
    </w:p>
    <w:p>
      <w:pPr>
        <w:spacing w:line="56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（3）属于恶意低价竞争，投标明显低于合理成本且不能证明其报价合理的；</w:t>
      </w:r>
    </w:p>
    <w:p>
      <w:pPr>
        <w:spacing w:line="56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（4）属于招标文件规定的无效投标情形，但在评审过程中未被评审委员会发现的；</w:t>
      </w:r>
    </w:p>
    <w:p>
      <w:pPr>
        <w:spacing w:line="56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（5）属于招标文件规定的串通投标的；</w:t>
      </w:r>
    </w:p>
    <w:p>
      <w:pPr>
        <w:spacing w:line="56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（6）出现干扰或影响评审客观公正行为的；</w:t>
      </w:r>
    </w:p>
    <w:p>
      <w:pPr>
        <w:spacing w:line="560" w:lineRule="exact"/>
        <w:ind w:firstLine="560" w:firstLineChars="200"/>
        <w:rPr>
          <w:rFonts w:hint="eastAsia" w:cs="仿宋" w:asciiTheme="majorEastAsia" w:hAnsiTheme="majorEastAsia" w:eastAsiaTheme="majorEastAsia"/>
          <w:sz w:val="28"/>
          <w:szCs w:val="28"/>
        </w:rPr>
      </w:pPr>
      <w:r>
        <w:rPr>
          <w:rFonts w:hint="eastAsia" w:cs="仿宋" w:asciiTheme="majorEastAsia" w:hAnsiTheme="majorEastAsia" w:eastAsiaTheme="majorEastAsia"/>
          <w:sz w:val="28"/>
          <w:szCs w:val="28"/>
        </w:rPr>
        <w:t>（7）存在其他违法违规行为的；</w:t>
      </w:r>
    </w:p>
    <w:p>
      <w:pPr>
        <w:spacing w:line="560" w:lineRule="exact"/>
        <w:ind w:firstLine="560" w:firstLineChars="200"/>
        <w:rPr>
          <w:rFonts w:hint="eastAsia" w:asciiTheme="majorEastAsia" w:hAnsiTheme="majorEastAsia" w:eastAsiaTheme="majorEastAsia"/>
          <w:sz w:val="21"/>
        </w:rPr>
      </w:pPr>
      <w:r>
        <w:rPr>
          <w:rFonts w:hint="eastAsia" w:cs="仿宋" w:asciiTheme="majorEastAsia" w:hAnsiTheme="majorEastAsia" w:eastAsiaTheme="majorEastAsia"/>
          <w:sz w:val="28"/>
          <w:szCs w:val="28"/>
        </w:rPr>
        <w:t>（8）国家和军队法律法规规定的其他情形。</w:t>
      </w:r>
    </w:p>
    <w:p>
      <w:pPr>
        <w:adjustRightInd w:val="0"/>
        <w:snapToGrid w:val="0"/>
        <w:spacing w:line="560" w:lineRule="exact"/>
        <w:ind w:firstLine="560" w:firstLineChars="200"/>
        <w:rPr>
          <w:rFonts w:hint="eastAsia"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中标供应商被取消或放弃中标资格的，采购单位可以按照评审排名结果依次递补确定中标供应商，但剩余有效投标供应商数量应当达到需要递补投标供应商数量的2倍，否则由采购机构重新组织采购。</w:t>
      </w:r>
    </w:p>
    <w:p>
      <w:pPr>
        <w:pStyle w:val="8"/>
        <w:keepNext w:val="0"/>
        <w:keepLines w:val="0"/>
        <w:adjustRightInd w:val="0"/>
        <w:snapToGrid w:val="0"/>
        <w:ind w:firstLine="560" w:firstLineChars="200"/>
        <w:rPr>
          <w:rFonts w:hint="eastAsia" w:ascii="黑体" w:hAnsi="黑体"/>
          <w:b w:val="0"/>
        </w:rPr>
      </w:pPr>
      <w:bookmarkStart w:id="200" w:name="_Toc8401"/>
      <w:bookmarkStart w:id="201" w:name="_Toc20846"/>
      <w:bookmarkStart w:id="202" w:name="_Toc26261"/>
      <w:bookmarkStart w:id="203" w:name="_Toc8490"/>
      <w:r>
        <w:rPr>
          <w:rFonts w:hint="eastAsia" w:ascii="黑体" w:hAnsi="黑体"/>
          <w:b w:val="0"/>
        </w:rPr>
        <w:t>41.中标通知</w:t>
      </w:r>
      <w:bookmarkEnd w:id="200"/>
      <w:bookmarkEnd w:id="201"/>
      <w:bookmarkEnd w:id="202"/>
      <w:bookmarkEnd w:id="203"/>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41.1评审结果公示无异议后2个工作日内，采购机构以书面形式向中标供应商发出《中标通知书》，同时向未中标供应商发出《未中标通知书》。</w:t>
      </w:r>
    </w:p>
    <w:p>
      <w:pPr>
        <w:pStyle w:val="7"/>
        <w:keepNext w:val="0"/>
        <w:keepLines w:val="0"/>
        <w:numPr>
          <w:ilvl w:val="2"/>
          <w:numId w:val="0"/>
        </w:numPr>
        <w:tabs>
          <w:tab w:val="clear" w:pos="1820"/>
        </w:tabs>
        <w:adjustRightInd w:val="0"/>
        <w:snapToGrid w:val="0"/>
        <w:spacing w:before="120" w:beforeLines="50" w:after="120" w:afterLines="50" w:line="560" w:lineRule="exact"/>
        <w:ind w:leftChars="0" w:firstLine="1280" w:firstLineChars="400"/>
        <w:jc w:val="center"/>
        <w:rPr>
          <w:rFonts w:hint="eastAsia" w:ascii="Times New Roman" w:hAnsi="Times New Roman"/>
          <w:b w:val="0"/>
        </w:rPr>
      </w:pPr>
      <w:bookmarkStart w:id="204" w:name="_Toc132190602"/>
      <w:bookmarkStart w:id="205" w:name="_Toc7207"/>
      <w:bookmarkStart w:id="206" w:name="_Toc20086"/>
      <w:bookmarkStart w:id="207" w:name="_Toc112317774"/>
      <w:bookmarkStart w:id="208" w:name="_Toc26039"/>
      <w:bookmarkStart w:id="209" w:name="_Toc17482"/>
      <w:r>
        <w:rPr>
          <w:rFonts w:hint="eastAsia"/>
          <w:b w:val="0"/>
        </w:rPr>
        <w:t>七、质疑、投诉和投诉复议</w:t>
      </w:r>
      <w:bookmarkEnd w:id="204"/>
    </w:p>
    <w:p>
      <w:pPr>
        <w:pStyle w:val="8"/>
        <w:keepNext w:val="0"/>
        <w:keepLines w:val="0"/>
        <w:adjustRightInd w:val="0"/>
        <w:snapToGrid w:val="0"/>
        <w:ind w:firstLine="560" w:firstLineChars="200"/>
        <w:rPr>
          <w:rFonts w:ascii="黑体" w:hAnsi="黑体"/>
          <w:b w:val="0"/>
        </w:rPr>
      </w:pPr>
      <w:r>
        <w:rPr>
          <w:rFonts w:hint="eastAsia" w:ascii="黑体" w:hAnsi="黑体"/>
          <w:b w:val="0"/>
        </w:rPr>
        <w:t>42.质疑</w:t>
      </w:r>
    </w:p>
    <w:p>
      <w:pPr>
        <w:tabs>
          <w:tab w:val="left" w:pos="562"/>
          <w:tab w:val="left" w:pos="1129"/>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42.1供应商认为招标文件、招标过程、中标结果使自己权益受到损害的，以书面形式向采购机构提出质疑。供应商应当在规定质疑期内一次性提出针对同一采购程序环节的质疑。</w:t>
      </w:r>
    </w:p>
    <w:p>
      <w:pPr>
        <w:tabs>
          <w:tab w:val="left" w:pos="562"/>
          <w:tab w:val="left" w:pos="1129"/>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（1）领取资格预审文件的供应商，对资格预审文件的质疑应当在提交资格预审申请文件截止时间2日前提出。</w:t>
      </w:r>
    </w:p>
    <w:p>
      <w:pPr>
        <w:tabs>
          <w:tab w:val="left" w:pos="562"/>
          <w:tab w:val="left" w:pos="1129"/>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（2）领取招标文件的供应商，对招标文件的质疑应当在投标截止时间10日前提出。</w:t>
      </w:r>
    </w:p>
    <w:p>
      <w:pPr>
        <w:tabs>
          <w:tab w:val="left" w:pos="562"/>
          <w:tab w:val="left" w:pos="1129"/>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（3）投标供应商对招标过程提出质疑的，应当在各采购程序环节结束之日起3日内提出，但对开标的质疑应当在当场提出，质疑受理单位应当当场作出答复，并如实记录。</w:t>
      </w:r>
    </w:p>
    <w:p>
      <w:pPr>
        <w:tabs>
          <w:tab w:val="left" w:pos="562"/>
          <w:tab w:val="left" w:pos="1129"/>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（4）投标供应商对中标结果提出质疑的，应当在中标结果公示期内提出。</w:t>
      </w:r>
    </w:p>
    <w:p>
      <w:pPr>
        <w:tabs>
          <w:tab w:val="left" w:pos="562"/>
          <w:tab w:val="left" w:pos="1129"/>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42.2投标供应商应当按照招标文件规定的程序和渠道提出质疑，质疑函主要包括下列内容：</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（1）投标供应商名称、通讯地址、联系人及联系电话；</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（2）质疑采购项目的名称、编号；</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（3）具体质疑事项和请求；</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（4）事实依据；</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（5）法律依据；</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（6）提出质疑的日期。</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42.3质疑函应当由法定代表人或其授权代表签字，并加盖公章。授权代表应当提供由法定代表人签署的授权书，载明被授权人的姓名、职务、授权范围和时间期限，并加盖公章。</w:t>
      </w:r>
    </w:p>
    <w:p>
      <w:pPr>
        <w:tabs>
          <w:tab w:val="left" w:pos="562"/>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42.4质疑受理单位及联系方式见</w:t>
      </w:r>
      <w:r>
        <w:rPr>
          <w:rFonts w:hint="eastAsia" w:ascii="宋体" w:hAnsi="宋体"/>
          <w:bCs/>
          <w:sz w:val="28"/>
          <w:szCs w:val="28"/>
          <w:lang w:val="zh-CN"/>
        </w:rPr>
        <w:t>【投标供应商须知前附表】</w:t>
      </w:r>
      <w:r>
        <w:rPr>
          <w:rFonts w:hint="eastAsia" w:ascii="宋体" w:hAnsi="宋体"/>
          <w:bCs/>
          <w:sz w:val="28"/>
          <w:szCs w:val="28"/>
        </w:rPr>
        <w:t>。</w:t>
      </w:r>
    </w:p>
    <w:p>
      <w:pPr>
        <w:pStyle w:val="8"/>
        <w:keepNext w:val="0"/>
        <w:keepLines w:val="0"/>
        <w:adjustRightInd w:val="0"/>
        <w:snapToGrid w:val="0"/>
        <w:ind w:firstLine="560" w:firstLineChars="200"/>
        <w:rPr>
          <w:rFonts w:hint="eastAsia" w:ascii="黑体" w:hAnsi="黑体"/>
          <w:b w:val="0"/>
        </w:rPr>
      </w:pPr>
      <w:r>
        <w:rPr>
          <w:rFonts w:hint="eastAsia" w:ascii="黑体" w:hAnsi="黑体"/>
          <w:b w:val="0"/>
        </w:rPr>
        <w:t>43.投诉</w:t>
      </w:r>
    </w:p>
    <w:p>
      <w:pPr>
        <w:tabs>
          <w:tab w:val="left" w:pos="562"/>
          <w:tab w:val="left" w:pos="1129"/>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43.1质疑受理单位拒收质疑函或未在规定期限内作出答复，以及对质疑答复及处理结果不满意的，质疑供应商可以在质疑答复期满之日起15个工作日内，向投诉受理部门提出书面投诉。</w:t>
      </w:r>
    </w:p>
    <w:p>
      <w:pPr>
        <w:tabs>
          <w:tab w:val="left" w:pos="562"/>
          <w:tab w:val="left" w:pos="1129"/>
        </w:tabs>
        <w:adjustRightInd w:val="0"/>
        <w:snapToGrid w:val="0"/>
        <w:spacing w:line="560" w:lineRule="exact"/>
        <w:ind w:firstLine="560" w:firstLineChars="200"/>
        <w:rPr>
          <w:rFonts w:hint="eastAsia" w:ascii="仿宋_GB2312" w:hAnsi="宋体" w:cs="宋体"/>
          <w:bCs/>
          <w:sz w:val="28"/>
          <w:szCs w:val="36"/>
        </w:rPr>
      </w:pPr>
      <w:r>
        <w:rPr>
          <w:rFonts w:hint="eastAsia"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pPr>
        <w:pStyle w:val="24"/>
        <w:adjustRightInd w:val="0"/>
        <w:snapToGrid w:val="0"/>
        <w:spacing w:line="560" w:lineRule="exact"/>
        <w:ind w:firstLine="560" w:firstLineChars="200"/>
        <w:rPr>
          <w:rFonts w:hint="eastAsia" w:hAnsi="宋体" w:cs="宋体"/>
          <w:bCs/>
          <w:sz w:val="28"/>
          <w:szCs w:val="36"/>
        </w:rPr>
      </w:pPr>
      <w:r>
        <w:rPr>
          <w:rFonts w:hint="eastAsia" w:hAnsi="宋体"/>
          <w:bCs/>
          <w:sz w:val="28"/>
          <w:szCs w:val="28"/>
        </w:rPr>
        <w:t>（1）</w:t>
      </w:r>
      <w:r>
        <w:rPr>
          <w:rFonts w:hint="eastAsia" w:hAnsi="宋体" w:cs="宋体"/>
          <w:bCs/>
          <w:sz w:val="28"/>
          <w:szCs w:val="36"/>
        </w:rPr>
        <w:t>投诉人和被投诉人的名称、通讯地址、邮编、联系人及联系电话；</w:t>
      </w:r>
    </w:p>
    <w:p>
      <w:pPr>
        <w:pStyle w:val="24"/>
        <w:adjustRightInd w:val="0"/>
        <w:snapToGrid w:val="0"/>
        <w:spacing w:line="560" w:lineRule="exact"/>
        <w:ind w:firstLine="560" w:firstLineChars="200"/>
        <w:rPr>
          <w:rFonts w:hint="eastAsia" w:hAnsi="宋体" w:cs="宋体"/>
          <w:bCs/>
          <w:sz w:val="28"/>
          <w:szCs w:val="36"/>
        </w:rPr>
      </w:pPr>
      <w:r>
        <w:rPr>
          <w:rFonts w:hint="eastAsia" w:hAnsi="宋体"/>
          <w:bCs/>
          <w:sz w:val="28"/>
          <w:szCs w:val="28"/>
        </w:rPr>
        <w:t>（2）</w:t>
      </w:r>
      <w:r>
        <w:rPr>
          <w:rFonts w:hint="eastAsia" w:hAnsi="宋体" w:cs="宋体"/>
          <w:bCs/>
          <w:sz w:val="28"/>
          <w:szCs w:val="36"/>
        </w:rPr>
        <w:t>质疑和质疑答复情况说明及相关证明材料；</w:t>
      </w:r>
    </w:p>
    <w:p>
      <w:pPr>
        <w:pStyle w:val="24"/>
        <w:adjustRightInd w:val="0"/>
        <w:snapToGrid w:val="0"/>
        <w:spacing w:line="560" w:lineRule="exact"/>
        <w:ind w:firstLine="560" w:firstLineChars="200"/>
        <w:rPr>
          <w:rFonts w:hint="eastAsia" w:hAnsi="宋体" w:cs="宋体"/>
          <w:bCs/>
          <w:sz w:val="28"/>
          <w:szCs w:val="36"/>
        </w:rPr>
      </w:pPr>
      <w:r>
        <w:rPr>
          <w:rFonts w:hint="eastAsia" w:hAnsi="宋体" w:cs="宋体"/>
          <w:bCs/>
          <w:sz w:val="28"/>
          <w:szCs w:val="36"/>
        </w:rPr>
        <w:t>（3）具体、明确的投诉事项和与投诉事项相关的投诉请求；</w:t>
      </w:r>
    </w:p>
    <w:p>
      <w:pPr>
        <w:pStyle w:val="24"/>
        <w:adjustRightInd w:val="0"/>
        <w:snapToGrid w:val="0"/>
        <w:spacing w:line="560" w:lineRule="exact"/>
        <w:ind w:firstLine="560" w:firstLineChars="200"/>
        <w:rPr>
          <w:rFonts w:hint="eastAsia" w:hAnsi="宋体" w:cs="宋体"/>
          <w:bCs/>
          <w:sz w:val="28"/>
          <w:szCs w:val="36"/>
        </w:rPr>
      </w:pPr>
      <w:r>
        <w:rPr>
          <w:rFonts w:hint="eastAsia" w:hAnsi="宋体"/>
          <w:bCs/>
          <w:sz w:val="28"/>
          <w:szCs w:val="28"/>
        </w:rPr>
        <w:t>（4）</w:t>
      </w:r>
      <w:r>
        <w:rPr>
          <w:rFonts w:hint="eastAsia" w:hAnsi="宋体" w:cs="宋体"/>
          <w:bCs/>
          <w:sz w:val="28"/>
          <w:szCs w:val="36"/>
        </w:rPr>
        <w:t>事实依据；</w:t>
      </w:r>
    </w:p>
    <w:p>
      <w:pPr>
        <w:pStyle w:val="24"/>
        <w:adjustRightInd w:val="0"/>
        <w:snapToGrid w:val="0"/>
        <w:spacing w:line="560" w:lineRule="exact"/>
        <w:ind w:firstLine="560" w:firstLineChars="200"/>
        <w:rPr>
          <w:rFonts w:hint="eastAsia" w:hAnsi="宋体" w:cs="宋体"/>
          <w:bCs/>
          <w:sz w:val="28"/>
          <w:szCs w:val="36"/>
        </w:rPr>
      </w:pPr>
      <w:r>
        <w:rPr>
          <w:rFonts w:hint="eastAsia" w:hAnsi="宋体"/>
          <w:bCs/>
          <w:sz w:val="28"/>
          <w:szCs w:val="28"/>
        </w:rPr>
        <w:t>（5）</w:t>
      </w:r>
      <w:r>
        <w:rPr>
          <w:rFonts w:hint="eastAsia" w:hAnsi="宋体" w:cs="宋体"/>
          <w:bCs/>
          <w:sz w:val="28"/>
          <w:szCs w:val="36"/>
        </w:rPr>
        <w:t>法律依据；</w:t>
      </w:r>
    </w:p>
    <w:p>
      <w:pPr>
        <w:pStyle w:val="24"/>
        <w:adjustRightInd w:val="0"/>
        <w:snapToGrid w:val="0"/>
        <w:spacing w:line="560" w:lineRule="exact"/>
        <w:ind w:firstLine="560" w:firstLineChars="200"/>
        <w:rPr>
          <w:rFonts w:hint="eastAsia" w:hAnsi="宋体" w:cs="宋体"/>
          <w:bCs/>
          <w:sz w:val="28"/>
          <w:szCs w:val="36"/>
        </w:rPr>
      </w:pPr>
      <w:r>
        <w:rPr>
          <w:rFonts w:hint="eastAsia" w:hAnsi="宋体"/>
          <w:bCs/>
          <w:sz w:val="28"/>
          <w:szCs w:val="28"/>
        </w:rPr>
        <w:t>（6）</w:t>
      </w:r>
      <w:r>
        <w:rPr>
          <w:rFonts w:hint="eastAsia" w:hAnsi="宋体" w:cs="宋体"/>
          <w:bCs/>
          <w:sz w:val="28"/>
          <w:szCs w:val="36"/>
        </w:rPr>
        <w:t>提起投诉的日期。</w:t>
      </w:r>
    </w:p>
    <w:p>
      <w:pPr>
        <w:pStyle w:val="24"/>
        <w:adjustRightInd w:val="0"/>
        <w:snapToGrid w:val="0"/>
        <w:spacing w:line="560" w:lineRule="exact"/>
        <w:ind w:firstLine="560" w:firstLineChars="200"/>
        <w:rPr>
          <w:rFonts w:hint="eastAsia" w:ascii="仿宋_GB2312" w:hAnsi="宋体" w:cs="宋体"/>
          <w:bCs/>
          <w:sz w:val="28"/>
          <w:szCs w:val="36"/>
        </w:rPr>
      </w:pPr>
      <w:r>
        <w:rPr>
          <w:rFonts w:hint="eastAsia"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pPr>
        <w:tabs>
          <w:tab w:val="left" w:pos="562"/>
        </w:tabs>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43.4受理、处理投诉申请部门及联系方式见</w:t>
      </w:r>
      <w:r>
        <w:rPr>
          <w:rFonts w:hint="eastAsia" w:ascii="宋体" w:hAnsi="宋体"/>
          <w:bCs/>
          <w:sz w:val="28"/>
          <w:szCs w:val="28"/>
          <w:lang w:val="zh-CN"/>
        </w:rPr>
        <w:t>【投标供应商须知前附表】</w:t>
      </w:r>
      <w:r>
        <w:rPr>
          <w:rFonts w:hint="eastAsia" w:ascii="宋体" w:hAnsi="宋体"/>
          <w:bCs/>
          <w:sz w:val="28"/>
          <w:szCs w:val="28"/>
        </w:rPr>
        <w:t>。</w:t>
      </w:r>
    </w:p>
    <w:p>
      <w:pPr>
        <w:pStyle w:val="8"/>
        <w:keepNext w:val="0"/>
        <w:keepLines w:val="0"/>
        <w:adjustRightInd w:val="0"/>
        <w:snapToGrid w:val="0"/>
        <w:ind w:firstLine="560" w:firstLineChars="200"/>
        <w:rPr>
          <w:rFonts w:hint="eastAsia" w:ascii="黑体" w:hAnsi="黑体"/>
          <w:b w:val="0"/>
        </w:rPr>
      </w:pPr>
      <w:r>
        <w:rPr>
          <w:rFonts w:hint="eastAsia" w:ascii="黑体" w:hAnsi="黑体"/>
          <w:b w:val="0"/>
        </w:rPr>
        <w:t>44.投诉复议</w:t>
      </w:r>
    </w:p>
    <w:p>
      <w:pPr>
        <w:tabs>
          <w:tab w:val="left" w:pos="562"/>
          <w:tab w:val="left" w:pos="1129"/>
        </w:tabs>
        <w:adjustRightInd w:val="0"/>
        <w:snapToGrid w:val="0"/>
        <w:spacing w:line="560" w:lineRule="exact"/>
        <w:ind w:firstLine="560" w:firstLineChars="200"/>
        <w:rPr>
          <w:rFonts w:hint="eastAsia" w:ascii="仿宋_GB2312" w:hAnsi="宋体" w:cs="宋体"/>
          <w:bCs/>
          <w:sz w:val="28"/>
          <w:szCs w:val="36"/>
        </w:rPr>
      </w:pPr>
      <w:r>
        <w:rPr>
          <w:rFonts w:hint="eastAsia"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hint="eastAsia" w:ascii="宋体" w:hAnsi="宋体"/>
          <w:bCs/>
          <w:sz w:val="28"/>
          <w:szCs w:val="28"/>
        </w:rPr>
        <w:t>15个工作日内，</w:t>
      </w:r>
      <w:r>
        <w:rPr>
          <w:rFonts w:hint="eastAsia" w:ascii="仿宋_GB2312" w:hAnsi="宋体" w:cs="宋体"/>
          <w:bCs/>
          <w:sz w:val="28"/>
          <w:szCs w:val="36"/>
        </w:rPr>
        <w:t>提出投诉复议申请。</w:t>
      </w:r>
    </w:p>
    <w:p>
      <w:pPr>
        <w:tabs>
          <w:tab w:val="left" w:pos="562"/>
          <w:tab w:val="left" w:pos="1129"/>
        </w:tabs>
        <w:adjustRightInd w:val="0"/>
        <w:snapToGrid w:val="0"/>
        <w:spacing w:line="560" w:lineRule="exact"/>
        <w:ind w:firstLine="560" w:firstLineChars="200"/>
        <w:rPr>
          <w:rFonts w:hint="eastAsia" w:ascii="仿宋_GB2312" w:hAnsi="宋体" w:cs="宋体"/>
          <w:bCs/>
          <w:sz w:val="28"/>
          <w:szCs w:val="36"/>
        </w:rPr>
      </w:pPr>
      <w:r>
        <w:rPr>
          <w:rFonts w:hint="eastAsia"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pPr>
        <w:pStyle w:val="24"/>
        <w:adjustRightInd w:val="0"/>
        <w:snapToGrid w:val="0"/>
        <w:spacing w:line="560" w:lineRule="exact"/>
        <w:ind w:firstLine="560" w:firstLineChars="200"/>
        <w:rPr>
          <w:rFonts w:hint="eastAsia" w:hAnsi="宋体"/>
          <w:bCs/>
          <w:kern w:val="0"/>
          <w:sz w:val="28"/>
          <w:szCs w:val="36"/>
        </w:rPr>
      </w:pPr>
      <w:r>
        <w:rPr>
          <w:rFonts w:hint="eastAsia" w:hAnsi="宋体"/>
          <w:bCs/>
          <w:sz w:val="28"/>
          <w:szCs w:val="28"/>
        </w:rPr>
        <w:t>（1）</w:t>
      </w:r>
      <w:r>
        <w:rPr>
          <w:rFonts w:hint="eastAsia" w:hAnsi="宋体"/>
          <w:bCs/>
          <w:kern w:val="0"/>
          <w:sz w:val="28"/>
          <w:szCs w:val="36"/>
        </w:rPr>
        <w:t>申请人和被申请人名称、通讯地址、联系人、联系电话；</w:t>
      </w:r>
    </w:p>
    <w:p>
      <w:pPr>
        <w:pStyle w:val="24"/>
        <w:adjustRightInd w:val="0"/>
        <w:snapToGrid w:val="0"/>
        <w:spacing w:line="560" w:lineRule="exact"/>
        <w:ind w:firstLine="560" w:firstLineChars="200"/>
        <w:rPr>
          <w:rFonts w:hint="eastAsia" w:hAnsi="宋体"/>
          <w:bCs/>
          <w:kern w:val="0"/>
          <w:sz w:val="28"/>
          <w:szCs w:val="36"/>
        </w:rPr>
      </w:pPr>
      <w:r>
        <w:rPr>
          <w:rFonts w:hint="eastAsia" w:hAnsi="宋体"/>
          <w:bCs/>
          <w:sz w:val="28"/>
          <w:szCs w:val="28"/>
        </w:rPr>
        <w:t>（2）</w:t>
      </w:r>
      <w:r>
        <w:rPr>
          <w:rFonts w:hint="eastAsia" w:hAnsi="宋体"/>
          <w:bCs/>
          <w:kern w:val="0"/>
          <w:sz w:val="28"/>
          <w:szCs w:val="36"/>
        </w:rPr>
        <w:t>投诉和投诉处理决定情况说明及相关证明材料；</w:t>
      </w:r>
    </w:p>
    <w:p>
      <w:pPr>
        <w:pStyle w:val="24"/>
        <w:adjustRightInd w:val="0"/>
        <w:snapToGrid w:val="0"/>
        <w:spacing w:line="560" w:lineRule="exact"/>
        <w:ind w:firstLine="560" w:firstLineChars="200"/>
        <w:rPr>
          <w:rFonts w:hint="eastAsia" w:hAnsi="宋体"/>
          <w:bCs/>
          <w:kern w:val="0"/>
          <w:sz w:val="28"/>
          <w:szCs w:val="36"/>
        </w:rPr>
      </w:pPr>
      <w:r>
        <w:rPr>
          <w:rFonts w:hint="eastAsia" w:hAnsi="宋体"/>
          <w:bCs/>
          <w:sz w:val="28"/>
          <w:szCs w:val="28"/>
        </w:rPr>
        <w:t>（3）</w:t>
      </w:r>
      <w:r>
        <w:rPr>
          <w:rFonts w:hint="eastAsia" w:hAnsi="宋体"/>
          <w:bCs/>
          <w:kern w:val="0"/>
          <w:sz w:val="28"/>
          <w:szCs w:val="36"/>
        </w:rPr>
        <w:t>具体、明确的复议事项和与复议事项相关的请求；</w:t>
      </w:r>
    </w:p>
    <w:p>
      <w:pPr>
        <w:pStyle w:val="24"/>
        <w:adjustRightInd w:val="0"/>
        <w:snapToGrid w:val="0"/>
        <w:spacing w:line="560" w:lineRule="exact"/>
        <w:ind w:firstLine="560" w:firstLineChars="200"/>
        <w:rPr>
          <w:rFonts w:hint="eastAsia" w:hAnsi="宋体"/>
          <w:bCs/>
          <w:kern w:val="0"/>
          <w:sz w:val="28"/>
          <w:szCs w:val="36"/>
        </w:rPr>
      </w:pPr>
      <w:r>
        <w:rPr>
          <w:rFonts w:hint="eastAsia" w:hAnsi="宋体"/>
          <w:bCs/>
          <w:sz w:val="28"/>
          <w:szCs w:val="28"/>
        </w:rPr>
        <w:t>（4）</w:t>
      </w:r>
      <w:r>
        <w:rPr>
          <w:rFonts w:hint="eastAsia" w:hAnsi="宋体"/>
          <w:bCs/>
          <w:kern w:val="0"/>
          <w:sz w:val="28"/>
          <w:szCs w:val="36"/>
        </w:rPr>
        <w:t>事实依据；</w:t>
      </w:r>
    </w:p>
    <w:p>
      <w:pPr>
        <w:pStyle w:val="24"/>
        <w:adjustRightInd w:val="0"/>
        <w:snapToGrid w:val="0"/>
        <w:spacing w:line="560" w:lineRule="exact"/>
        <w:ind w:firstLine="560" w:firstLineChars="200"/>
        <w:rPr>
          <w:rFonts w:hint="eastAsia" w:hAnsi="宋体"/>
          <w:bCs/>
          <w:kern w:val="0"/>
          <w:sz w:val="28"/>
          <w:szCs w:val="36"/>
        </w:rPr>
      </w:pPr>
      <w:r>
        <w:rPr>
          <w:rFonts w:hint="eastAsia" w:hAnsi="宋体"/>
          <w:bCs/>
          <w:kern w:val="0"/>
          <w:sz w:val="28"/>
          <w:szCs w:val="36"/>
        </w:rPr>
        <w:t>（5）法律依据；</w:t>
      </w:r>
    </w:p>
    <w:p>
      <w:pPr>
        <w:pStyle w:val="24"/>
        <w:adjustRightInd w:val="0"/>
        <w:snapToGrid w:val="0"/>
        <w:spacing w:line="560" w:lineRule="exact"/>
        <w:ind w:firstLine="560" w:firstLineChars="200"/>
        <w:rPr>
          <w:rFonts w:hint="eastAsia" w:hAnsi="宋体"/>
          <w:bCs/>
          <w:kern w:val="0"/>
          <w:sz w:val="28"/>
          <w:szCs w:val="36"/>
        </w:rPr>
      </w:pPr>
      <w:r>
        <w:rPr>
          <w:rFonts w:hint="eastAsia"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pPr>
        <w:tabs>
          <w:tab w:val="left" w:pos="562"/>
          <w:tab w:val="left" w:pos="1129"/>
        </w:tabs>
        <w:adjustRightInd w:val="0"/>
        <w:snapToGrid w:val="0"/>
        <w:spacing w:line="560" w:lineRule="exact"/>
        <w:ind w:firstLine="560" w:firstLineChars="200"/>
        <w:rPr>
          <w:rFonts w:hint="eastAsia" w:ascii="仿宋_GB2312" w:hAnsi="宋体" w:cs="宋体"/>
          <w:bCs/>
          <w:kern w:val="2"/>
          <w:sz w:val="28"/>
          <w:szCs w:val="36"/>
        </w:rPr>
      </w:pPr>
      <w:r>
        <w:rPr>
          <w:rFonts w:hint="eastAsia"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pPr>
        <w:tabs>
          <w:tab w:val="left" w:pos="562"/>
          <w:tab w:val="left" w:pos="1129"/>
        </w:tabs>
        <w:adjustRightInd w:val="0"/>
        <w:snapToGrid w:val="0"/>
        <w:spacing w:line="560" w:lineRule="exact"/>
        <w:ind w:firstLine="560" w:firstLineChars="200"/>
        <w:rPr>
          <w:rFonts w:hint="eastAsia" w:ascii="仿宋_GB2312" w:hAnsi="宋体" w:cs="宋体"/>
          <w:bCs/>
          <w:sz w:val="28"/>
          <w:szCs w:val="36"/>
        </w:rPr>
      </w:pPr>
      <w:r>
        <w:rPr>
          <w:rFonts w:hint="eastAsia"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pPr>
        <w:pStyle w:val="7"/>
        <w:keepNext w:val="0"/>
        <w:keepLines w:val="0"/>
        <w:numPr>
          <w:ilvl w:val="2"/>
          <w:numId w:val="0"/>
        </w:numPr>
        <w:tabs>
          <w:tab w:val="clear" w:pos="1820"/>
        </w:tabs>
        <w:adjustRightInd w:val="0"/>
        <w:snapToGrid w:val="0"/>
        <w:spacing w:before="120" w:beforeLines="50" w:after="120" w:afterLines="50" w:line="560" w:lineRule="exact"/>
        <w:ind w:leftChars="0"/>
        <w:jc w:val="center"/>
        <w:rPr>
          <w:rFonts w:hint="eastAsia" w:ascii="Times New Roman" w:hAnsi="Times New Roman" w:cs="Times New Roman"/>
          <w:b w:val="0"/>
        </w:rPr>
      </w:pPr>
      <w:bookmarkStart w:id="210" w:name="_Toc132190603"/>
      <w:r>
        <w:rPr>
          <w:rFonts w:hint="eastAsia"/>
          <w:b w:val="0"/>
        </w:rPr>
        <w:t>八、签订合同</w:t>
      </w:r>
      <w:bookmarkEnd w:id="205"/>
      <w:bookmarkEnd w:id="206"/>
      <w:bookmarkEnd w:id="207"/>
      <w:bookmarkEnd w:id="208"/>
      <w:bookmarkEnd w:id="209"/>
      <w:bookmarkEnd w:id="210"/>
    </w:p>
    <w:p>
      <w:pPr>
        <w:pStyle w:val="8"/>
        <w:keepNext w:val="0"/>
        <w:keepLines w:val="0"/>
        <w:adjustRightInd w:val="0"/>
        <w:snapToGrid w:val="0"/>
        <w:ind w:firstLine="560" w:firstLineChars="200"/>
        <w:rPr>
          <w:rFonts w:ascii="黑体" w:hAnsi="黑体"/>
          <w:b w:val="0"/>
        </w:rPr>
      </w:pPr>
      <w:bookmarkStart w:id="211" w:name="_Toc24078"/>
      <w:bookmarkStart w:id="212" w:name="_Toc96"/>
      <w:bookmarkStart w:id="213" w:name="_Toc19884"/>
      <w:bookmarkStart w:id="214" w:name="_Toc29124"/>
      <w:r>
        <w:rPr>
          <w:rFonts w:hint="eastAsia" w:ascii="黑体" w:hAnsi="黑体"/>
          <w:b w:val="0"/>
        </w:rPr>
        <w:t>45.签订合同</w:t>
      </w:r>
      <w:bookmarkEnd w:id="211"/>
      <w:bookmarkEnd w:id="212"/>
      <w:bookmarkEnd w:id="213"/>
      <w:bookmarkEnd w:id="214"/>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45.1中标供应商在采购机构发出《中标通知书》之日起30日内，依据招标文件、中标供应商投标文件和澄清承诺，与采购单位签订采购合同。</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45.2采购合同不得对招标文件和中标供应商投标文件作实质性修改，采购单位不得向中标供应商提出任何不合理要求，作为签订合同的条件。招标文件、中标供应商投标文件、补充文件、澄清承诺等，均为签订合同的依据。</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45.3签订合同后，中标供应商不得将中标项目整体转包或将项目拆分后分别向他人转包，不得违反招标文件、投标文件和合同约定，擅自将合同分包，一经查实将按有关规定进行严肃处理。</w:t>
      </w:r>
    </w:p>
    <w:p>
      <w:pPr>
        <w:adjustRightInd w:val="0"/>
        <w:snapToGrid w:val="0"/>
        <w:spacing w:line="560" w:lineRule="exact"/>
        <w:ind w:firstLine="560" w:firstLineChars="200"/>
        <w:rPr>
          <w:rFonts w:hint="eastAsia" w:ascii="宋体" w:hAnsi="宋体"/>
          <w:bCs/>
          <w:sz w:val="28"/>
          <w:szCs w:val="28"/>
        </w:rPr>
      </w:pPr>
      <w:r>
        <w:rPr>
          <w:rFonts w:hint="eastAsia"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pPr>
        <w:pStyle w:val="7"/>
        <w:keepNext w:val="0"/>
        <w:keepLines w:val="0"/>
        <w:numPr>
          <w:ilvl w:val="2"/>
          <w:numId w:val="0"/>
        </w:numPr>
        <w:tabs>
          <w:tab w:val="clear" w:pos="1820"/>
        </w:tabs>
        <w:adjustRightInd w:val="0"/>
        <w:snapToGrid w:val="0"/>
        <w:spacing w:before="120" w:beforeLines="50" w:after="120" w:afterLines="50" w:line="560" w:lineRule="exact"/>
        <w:ind w:leftChars="0"/>
        <w:jc w:val="center"/>
        <w:rPr>
          <w:rFonts w:hint="eastAsia" w:ascii="Times New Roman" w:hAnsi="Times New Roman"/>
          <w:b w:val="0"/>
        </w:rPr>
      </w:pPr>
      <w:bookmarkStart w:id="215" w:name="_Toc28366"/>
      <w:bookmarkStart w:id="216" w:name="_Toc19987"/>
      <w:bookmarkStart w:id="217" w:name="_Toc112317776"/>
      <w:bookmarkStart w:id="218" w:name="_Toc24627"/>
      <w:bookmarkStart w:id="219" w:name="_Toc5523"/>
      <w:bookmarkStart w:id="220" w:name="_Toc132190604"/>
      <w:r>
        <w:rPr>
          <w:rFonts w:hint="eastAsia"/>
          <w:b w:val="0"/>
        </w:rPr>
        <w:t>九、解释权限</w:t>
      </w:r>
      <w:bookmarkEnd w:id="215"/>
      <w:bookmarkEnd w:id="216"/>
      <w:bookmarkEnd w:id="217"/>
      <w:bookmarkEnd w:id="218"/>
      <w:bookmarkEnd w:id="219"/>
      <w:bookmarkEnd w:id="220"/>
    </w:p>
    <w:p>
      <w:pPr>
        <w:pStyle w:val="8"/>
        <w:keepNext w:val="0"/>
        <w:keepLines w:val="0"/>
        <w:adjustRightInd w:val="0"/>
        <w:snapToGrid w:val="0"/>
        <w:ind w:firstLine="560" w:firstLineChars="200"/>
        <w:rPr>
          <w:rFonts w:ascii="黑体" w:hAnsi="黑体"/>
          <w:b w:val="0"/>
        </w:rPr>
      </w:pPr>
      <w:bookmarkStart w:id="221" w:name="_Toc31881"/>
      <w:bookmarkStart w:id="222" w:name="_Toc10805"/>
      <w:bookmarkStart w:id="223" w:name="_Toc8428"/>
      <w:bookmarkStart w:id="224" w:name="_Toc18827"/>
      <w:r>
        <w:rPr>
          <w:rFonts w:hint="eastAsia" w:ascii="黑体" w:hAnsi="黑体"/>
          <w:b w:val="0"/>
        </w:rPr>
        <w:t>46.解释权限</w:t>
      </w:r>
      <w:bookmarkEnd w:id="221"/>
      <w:bookmarkEnd w:id="222"/>
      <w:bookmarkEnd w:id="223"/>
      <w:bookmarkEnd w:id="224"/>
    </w:p>
    <w:p>
      <w:pPr>
        <w:adjustRightInd w:val="0"/>
        <w:snapToGrid w:val="0"/>
        <w:spacing w:line="560" w:lineRule="exact"/>
        <w:ind w:firstLine="560" w:firstLineChars="200"/>
        <w:rPr>
          <w:rFonts w:hint="eastAsia" w:ascii="黑体" w:hAnsi="黑体" w:eastAsia="黑体" w:cs="黑体"/>
          <w:bCs/>
          <w:sz w:val="28"/>
          <w:szCs w:val="28"/>
        </w:rPr>
      </w:pPr>
      <w:r>
        <w:rPr>
          <w:rFonts w:hint="eastAsia" w:ascii="宋体" w:hAnsi="宋体"/>
          <w:bCs/>
          <w:sz w:val="28"/>
          <w:szCs w:val="28"/>
        </w:rPr>
        <w:t>46.1</w:t>
      </w:r>
      <w:r>
        <w:rPr>
          <w:rFonts w:hint="eastAsia"/>
          <w:bCs/>
          <w:sz w:val="28"/>
          <w:szCs w:val="28"/>
        </w:rPr>
        <w:t>本招标文件由采购机构负责解释。</w:t>
      </w:r>
    </w:p>
    <w:p>
      <w:pPr>
        <w:widowControl/>
        <w:jc w:val="left"/>
        <w:rPr>
          <w:rFonts w:ascii="黑体" w:hAnsi="黑体" w:eastAsia="黑体" w:cs="黑体"/>
          <w:bCs/>
          <w:sz w:val="28"/>
          <w:szCs w:val="28"/>
        </w:rPr>
        <w:sectPr>
          <w:pgSz w:w="11906" w:h="16838"/>
          <w:pgMar w:top="1418" w:right="1134" w:bottom="1418" w:left="1418" w:header="850" w:footer="851" w:gutter="0"/>
          <w:pgNumType w:start="1"/>
          <w:cols w:space="720" w:num="1"/>
        </w:sectPr>
      </w:pPr>
    </w:p>
    <w:p>
      <w:pPr>
        <w:pStyle w:val="7"/>
        <w:numPr>
          <w:ilvl w:val="2"/>
          <w:numId w:val="0"/>
        </w:numPr>
        <w:tabs>
          <w:tab w:val="clear" w:pos="1820"/>
        </w:tabs>
        <w:spacing w:before="120" w:beforeLines="50" w:after="120" w:afterLines="50" w:line="560" w:lineRule="exact"/>
        <w:ind w:leftChars="0"/>
        <w:rPr>
          <w:rFonts w:hint="eastAsia" w:ascii="黑体" w:hAnsi="黑体" w:eastAsia="黑体" w:cs="黑体"/>
          <w:b w:val="0"/>
          <w:sz w:val="28"/>
          <w:szCs w:val="28"/>
        </w:rPr>
      </w:pPr>
      <w:bookmarkStart w:id="225" w:name="_Toc19792"/>
      <w:bookmarkStart w:id="226" w:name="_Toc11888"/>
      <w:bookmarkStart w:id="227" w:name="_Toc132190605"/>
      <w:bookmarkStart w:id="228" w:name="_Toc21065"/>
      <w:bookmarkStart w:id="229" w:name="_Toc7344"/>
      <w:r>
        <w:rPr>
          <w:rFonts w:hint="eastAsia" w:ascii="黑体" w:hAnsi="黑体" w:cs="黑体"/>
          <w:b w:val="0"/>
          <w:sz w:val="28"/>
          <w:szCs w:val="28"/>
        </w:rPr>
        <w:t>附页1 招标文件更正确认函</w:t>
      </w:r>
      <w:bookmarkEnd w:id="225"/>
      <w:bookmarkEnd w:id="226"/>
      <w:bookmarkEnd w:id="227"/>
      <w:bookmarkEnd w:id="228"/>
      <w:bookmarkEnd w:id="229"/>
    </w:p>
    <w:p>
      <w:pPr>
        <w:spacing w:before="120" w:beforeLines="50" w:after="120" w:afterLines="50" w:line="560" w:lineRule="exact"/>
        <w:ind w:firstLine="720" w:firstLineChars="200"/>
        <w:jc w:val="center"/>
        <w:rPr>
          <w:rFonts w:hint="eastAsia" w:ascii="宋体" w:hAnsi="宋体" w:cs="宋体"/>
          <w:bCs/>
          <w:sz w:val="28"/>
          <w:szCs w:val="28"/>
        </w:rPr>
      </w:pPr>
      <w:r>
        <w:rPr>
          <w:rFonts w:hint="eastAsia" w:ascii="黑体" w:hAnsi="黑体" w:eastAsia="黑体" w:cs="黑体"/>
          <w:bCs/>
          <w:sz w:val="36"/>
          <w:szCs w:val="36"/>
        </w:rPr>
        <w:t>招标文件更正确认函</w:t>
      </w:r>
    </w:p>
    <w:p>
      <w:pPr>
        <w:spacing w:line="560" w:lineRule="exact"/>
        <w:rPr>
          <w:rFonts w:hint="eastAsia"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pPr>
        <w:spacing w:line="560" w:lineRule="exact"/>
        <w:rPr>
          <w:rFonts w:hint="eastAsia" w:ascii="宋体" w:hAnsi="宋体" w:cs="宋体"/>
          <w:bCs/>
          <w:sz w:val="28"/>
          <w:szCs w:val="28"/>
        </w:rPr>
      </w:pPr>
    </w:p>
    <w:p>
      <w:pPr>
        <w:spacing w:line="560" w:lineRule="exact"/>
        <w:rPr>
          <w:rFonts w:hint="eastAsia" w:ascii="宋体" w:hAnsi="宋体" w:cs="宋体"/>
          <w:bCs/>
          <w:sz w:val="28"/>
          <w:szCs w:val="28"/>
        </w:rPr>
      </w:pPr>
    </w:p>
    <w:p>
      <w:pPr>
        <w:spacing w:line="560" w:lineRule="exact"/>
        <w:rPr>
          <w:rFonts w:hint="eastAsia" w:ascii="宋体" w:hAnsi="宋体" w:cs="宋体"/>
          <w:bCs/>
          <w:sz w:val="28"/>
          <w:szCs w:val="28"/>
        </w:rPr>
      </w:pPr>
    </w:p>
    <w:p>
      <w:pPr>
        <w:spacing w:line="560" w:lineRule="exact"/>
        <w:rPr>
          <w:rFonts w:hint="eastAsia" w:ascii="宋体" w:hAnsi="宋体" w:cs="宋体"/>
          <w:bCs/>
          <w:sz w:val="28"/>
          <w:szCs w:val="28"/>
        </w:rPr>
      </w:pPr>
    </w:p>
    <w:p>
      <w:pPr>
        <w:spacing w:line="560" w:lineRule="exact"/>
        <w:ind w:firstLine="3640" w:firstLineChars="1300"/>
        <w:rPr>
          <w:rFonts w:hint="eastAsia" w:ascii="宋体" w:hAnsi="宋体" w:cs="宋体"/>
          <w:bCs/>
          <w:sz w:val="28"/>
          <w:szCs w:val="28"/>
          <w:lang w:val="zh-CN"/>
        </w:rPr>
      </w:pPr>
      <w:r>
        <w:rPr>
          <w:rFonts w:hint="eastAsia" w:ascii="宋体" w:hAnsi="宋体" w:cs="宋体"/>
          <w:bCs/>
          <w:sz w:val="28"/>
          <w:szCs w:val="28"/>
          <w:lang w:val="zh-CN"/>
        </w:rPr>
        <w:t>投标供应商全称：（盖章）</w:t>
      </w:r>
    </w:p>
    <w:p>
      <w:pPr>
        <w:spacing w:line="560" w:lineRule="exact"/>
        <w:ind w:firstLine="3640" w:firstLineChars="1300"/>
        <w:rPr>
          <w:rFonts w:hint="eastAsia" w:ascii="宋体" w:hAnsi="宋体" w:cs="宋体"/>
          <w:bCs/>
          <w:sz w:val="28"/>
          <w:szCs w:val="28"/>
          <w:lang w:val="zh-CN"/>
        </w:rPr>
      </w:pPr>
      <w:r>
        <w:rPr>
          <w:rFonts w:hint="eastAsia" w:ascii="宋体" w:hAnsi="宋体" w:cs="宋体"/>
          <w:bCs/>
          <w:sz w:val="28"/>
          <w:szCs w:val="28"/>
          <w:lang w:val="zh-CN"/>
        </w:rPr>
        <w:t>法定代表人（或授权代表）：（签字）</w:t>
      </w:r>
    </w:p>
    <w:p>
      <w:pPr>
        <w:spacing w:line="560" w:lineRule="exact"/>
        <w:ind w:firstLine="6160" w:firstLineChars="2200"/>
        <w:rPr>
          <w:rFonts w:hint="eastAsia"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624"/>
        <w:rPr>
          <w:rFonts w:hint="eastAsia" w:ascii="仿宋_GB2312" w:cs="宋体"/>
          <w:bCs/>
          <w:sz w:val="21"/>
          <w:szCs w:val="32"/>
        </w:rPr>
      </w:pPr>
    </w:p>
    <w:p>
      <w:pPr>
        <w:pStyle w:val="7"/>
        <w:numPr>
          <w:ilvl w:val="2"/>
          <w:numId w:val="0"/>
        </w:numPr>
        <w:tabs>
          <w:tab w:val="clear" w:pos="1820"/>
        </w:tabs>
        <w:spacing w:before="120" w:beforeLines="50" w:after="120" w:afterLines="50" w:line="560" w:lineRule="exact"/>
        <w:ind w:leftChars="0"/>
        <w:rPr>
          <w:rFonts w:hint="eastAsia" w:asciiTheme="minorEastAsia" w:hAnsiTheme="minorEastAsia" w:eastAsiaTheme="minorEastAsia"/>
          <w:b w:val="0"/>
          <w:sz w:val="28"/>
          <w:szCs w:val="28"/>
        </w:rPr>
      </w:pPr>
      <w:r>
        <w:rPr>
          <w:rFonts w:eastAsia="黑体"/>
          <w:bCs w:val="0"/>
        </w:rPr>
        <w:br w:type="page"/>
      </w:r>
      <w:bookmarkStart w:id="230" w:name="_Toc21635"/>
      <w:bookmarkStart w:id="231" w:name="_Toc132190606"/>
      <w:bookmarkStart w:id="232" w:name="_Toc3566"/>
      <w:bookmarkStart w:id="233" w:name="_Toc20737"/>
      <w:bookmarkStart w:id="234" w:name="_Toc9904"/>
      <w:r>
        <w:rPr>
          <w:rFonts w:hint="eastAsia" w:ascii="黑体" w:hAnsi="黑体" w:cs="黑体"/>
          <w:b w:val="0"/>
          <w:sz w:val="28"/>
          <w:szCs w:val="28"/>
        </w:rPr>
        <w:t>附页2 质疑函（格式）</w:t>
      </w:r>
      <w:bookmarkEnd w:id="230"/>
      <w:bookmarkEnd w:id="231"/>
      <w:bookmarkEnd w:id="232"/>
      <w:bookmarkEnd w:id="233"/>
      <w:bookmarkEnd w:id="234"/>
    </w:p>
    <w:p>
      <w:pPr>
        <w:spacing w:before="120" w:beforeLines="50" w:after="120" w:afterLines="50" w:line="560" w:lineRule="exact"/>
        <w:jc w:val="center"/>
        <w:rPr>
          <w:rFonts w:hint="eastAsia" w:ascii="黑体" w:hAnsi="黑体" w:eastAsia="黑体" w:cs="黑体"/>
          <w:bCs/>
          <w:sz w:val="36"/>
          <w:szCs w:val="36"/>
        </w:rPr>
      </w:pPr>
      <w:r>
        <w:rPr>
          <w:rFonts w:hint="eastAsia" w:ascii="黑体" w:hAnsi="黑体" w:eastAsia="黑体" w:cs="黑体"/>
          <w:bCs/>
          <w:sz w:val="36"/>
          <w:szCs w:val="36"/>
        </w:rPr>
        <w:t>质  疑  函</w:t>
      </w:r>
    </w:p>
    <w:p>
      <w:pPr>
        <w:spacing w:line="560" w:lineRule="exact"/>
        <w:ind w:firstLine="560" w:firstLineChars="200"/>
        <w:rPr>
          <w:rFonts w:hint="eastAsia"/>
          <w:sz w:val="28"/>
          <w:szCs w:val="28"/>
        </w:rPr>
      </w:pPr>
      <w:bookmarkStart w:id="235" w:name="_Toc28425"/>
      <w:bookmarkStart w:id="236" w:name="_Toc30926"/>
      <w:bookmarkStart w:id="237" w:name="_Toc6068"/>
      <w:bookmarkStart w:id="238" w:name="_Toc15296"/>
      <w:r>
        <w:rPr>
          <w:rFonts w:hint="eastAsia"/>
          <w:sz w:val="28"/>
          <w:szCs w:val="28"/>
        </w:rPr>
        <w:t>质疑供应商名称：</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通讯地址：</w:t>
      </w:r>
      <w:r>
        <w:rPr>
          <w:rFonts w:hint="eastAsia" w:ascii="仿宋_GB2312"/>
          <w:sz w:val="28"/>
          <w:szCs w:val="28"/>
          <w:u w:val="single"/>
        </w:rPr>
        <w:t xml:space="preserve">                                          </w:t>
      </w:r>
      <w:r>
        <w:rPr>
          <w:sz w:val="28"/>
          <w:szCs w:val="28"/>
        </w:rPr>
        <w:t xml:space="preserve">     </w:t>
      </w:r>
    </w:p>
    <w:p>
      <w:pPr>
        <w:spacing w:line="560" w:lineRule="exact"/>
        <w:ind w:firstLine="560" w:firstLineChars="200"/>
        <w:rPr>
          <w:sz w:val="28"/>
          <w:szCs w:val="28"/>
        </w:rPr>
      </w:pPr>
      <w:r>
        <w:rPr>
          <w:rFonts w:hint="eastAsia"/>
          <w:sz w:val="28"/>
          <w:szCs w:val="28"/>
        </w:rPr>
        <w:t>法定代表人：</w:t>
      </w:r>
      <w:r>
        <w:rPr>
          <w:rFonts w:hint="eastAsia" w:ascii="仿宋_GB2312"/>
          <w:sz w:val="28"/>
          <w:szCs w:val="28"/>
          <w:u w:val="single"/>
        </w:rPr>
        <w:t xml:space="preserve">                   </w:t>
      </w:r>
      <w:r>
        <w:rPr>
          <w:rFonts w:hint="eastAsia"/>
          <w:sz w:val="28"/>
          <w:szCs w:val="28"/>
        </w:rPr>
        <w:t>联系电话：</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授权代表：</w:t>
      </w:r>
      <w:r>
        <w:rPr>
          <w:rFonts w:hint="eastAsia" w:ascii="仿宋_GB2312"/>
          <w:sz w:val="28"/>
          <w:szCs w:val="28"/>
          <w:u w:val="single"/>
        </w:rPr>
        <w:t xml:space="preserve">                     </w:t>
      </w:r>
      <w:r>
        <w:rPr>
          <w:rFonts w:hint="eastAsia"/>
          <w:sz w:val="28"/>
          <w:szCs w:val="28"/>
        </w:rPr>
        <w:t>联系电话：</w:t>
      </w:r>
      <w:r>
        <w:rPr>
          <w:rFonts w:hint="eastAsia" w:ascii="仿宋_GB2312"/>
          <w:sz w:val="28"/>
          <w:szCs w:val="28"/>
          <w:u w:val="single"/>
        </w:rPr>
        <w:t xml:space="preserve">           </w:t>
      </w:r>
    </w:p>
    <w:p>
      <w:pPr>
        <w:spacing w:before="240" w:beforeLines="100" w:line="560" w:lineRule="exact"/>
        <w:rPr>
          <w:rFonts w:ascii="宋体" w:hAnsi="宋体"/>
          <w:sz w:val="28"/>
          <w:szCs w:val="28"/>
        </w:rPr>
      </w:pPr>
      <w:r>
        <w:rPr>
          <w:rFonts w:hint="eastAsia" w:ascii="宋体" w:hAnsi="宋体"/>
          <w:sz w:val="28"/>
          <w:szCs w:val="28"/>
          <w:u w:val="single"/>
        </w:rPr>
        <w:t>（质疑受理单位名称）</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hint="eastAsia" w:ascii="宋体" w:hAnsi="宋体"/>
          <w:sz w:val="28"/>
          <w:szCs w:val="28"/>
        </w:rPr>
        <w:t>针对你单位组织的</w:t>
      </w:r>
      <w:r>
        <w:rPr>
          <w:rFonts w:hint="eastAsia" w:ascii="宋体" w:hAnsi="宋体"/>
          <w:sz w:val="28"/>
          <w:szCs w:val="28"/>
          <w:u w:val="single"/>
        </w:rPr>
        <w:t xml:space="preserve">    </w:t>
      </w:r>
      <w:r>
        <w:rPr>
          <w:rFonts w:hint="eastAsia" w:ascii="宋体" w:hAnsi="宋体"/>
          <w:sz w:val="28"/>
          <w:szCs w:val="28"/>
        </w:rPr>
        <w:t>采购项目（项目编号：</w:t>
      </w:r>
      <w:r>
        <w:rPr>
          <w:rFonts w:hint="eastAsia" w:ascii="宋体" w:hAnsi="宋体"/>
          <w:sz w:val="28"/>
          <w:szCs w:val="28"/>
          <w:u w:val="single"/>
        </w:rPr>
        <w:t xml:space="preserve">    </w:t>
      </w:r>
      <w:r>
        <w:rPr>
          <w:rFonts w:hint="eastAsia" w:ascii="宋体" w:hAnsi="宋体"/>
          <w:sz w:val="28"/>
          <w:szCs w:val="28"/>
        </w:rPr>
        <w:t>），我单位现就以下问题提出质疑：</w:t>
      </w:r>
    </w:p>
    <w:p>
      <w:pPr>
        <w:spacing w:line="560" w:lineRule="exact"/>
        <w:ind w:firstLine="560" w:firstLineChars="200"/>
        <w:rPr>
          <w:rFonts w:hint="eastAsia" w:ascii="宋体" w:hAnsi="宋体"/>
          <w:sz w:val="28"/>
          <w:szCs w:val="28"/>
        </w:rPr>
      </w:pPr>
      <w:r>
        <w:rPr>
          <w:rFonts w:hint="eastAsia" w:ascii="宋体" w:hAnsi="宋体"/>
          <w:sz w:val="28"/>
          <w:szCs w:val="28"/>
        </w:rPr>
        <w:t>一、质疑事项和与之相关的请求</w:t>
      </w:r>
    </w:p>
    <w:p>
      <w:pPr>
        <w:spacing w:line="560" w:lineRule="exact"/>
        <w:ind w:firstLine="560" w:firstLineChars="200"/>
        <w:rPr>
          <w:rFonts w:hint="eastAsia" w:ascii="宋体" w:hAnsi="宋体"/>
          <w:sz w:val="28"/>
          <w:szCs w:val="28"/>
        </w:rPr>
      </w:pPr>
      <w:r>
        <w:rPr>
          <w:rFonts w:hint="eastAsia" w:ascii="宋体" w:hAnsi="宋体"/>
          <w:sz w:val="28"/>
          <w:szCs w:val="28"/>
        </w:rPr>
        <w:t>二、事实依据</w:t>
      </w:r>
    </w:p>
    <w:p>
      <w:pPr>
        <w:spacing w:line="560" w:lineRule="exact"/>
        <w:ind w:firstLine="560" w:firstLineChars="200"/>
        <w:rPr>
          <w:rFonts w:hint="eastAsia" w:ascii="宋体" w:hAnsi="宋体"/>
          <w:sz w:val="28"/>
          <w:szCs w:val="28"/>
        </w:rPr>
      </w:pPr>
      <w:r>
        <w:rPr>
          <w:rFonts w:hint="eastAsia" w:ascii="宋体" w:hAnsi="宋体"/>
          <w:sz w:val="28"/>
          <w:szCs w:val="28"/>
        </w:rPr>
        <w:t>三、法律依据</w:t>
      </w:r>
    </w:p>
    <w:p>
      <w:pPr>
        <w:spacing w:line="560" w:lineRule="exact"/>
        <w:ind w:firstLine="560" w:firstLineChars="200"/>
        <w:rPr>
          <w:rFonts w:hint="eastAsia" w:ascii="宋体" w:hAnsi="宋体"/>
          <w:sz w:val="28"/>
          <w:szCs w:val="28"/>
        </w:rPr>
      </w:pPr>
      <w:r>
        <w:rPr>
          <w:rFonts w:hint="eastAsia" w:ascii="宋体" w:hAnsi="宋体"/>
          <w:sz w:val="28"/>
          <w:szCs w:val="28"/>
        </w:rPr>
        <w:t>……</w:t>
      </w:r>
    </w:p>
    <w:p>
      <w:pPr>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p>
    <w:p>
      <w:pPr>
        <w:spacing w:line="560" w:lineRule="exact"/>
        <w:ind w:firstLine="560" w:firstLineChars="200"/>
        <w:rPr>
          <w:rFonts w:hint="eastAsia" w:ascii="宋体" w:hAnsi="宋体"/>
          <w:sz w:val="28"/>
          <w:szCs w:val="28"/>
        </w:rPr>
      </w:pPr>
    </w:p>
    <w:p>
      <w:pPr>
        <w:spacing w:line="560" w:lineRule="exact"/>
        <w:ind w:firstLine="4592" w:firstLineChars="1640"/>
        <w:rPr>
          <w:rFonts w:hint="eastAsia" w:ascii="宋体" w:hAnsi="宋体"/>
          <w:sz w:val="28"/>
          <w:szCs w:val="28"/>
        </w:rPr>
      </w:pPr>
      <w:r>
        <w:rPr>
          <w:rFonts w:hint="eastAsia" w:ascii="宋体" w:hAnsi="宋体"/>
          <w:sz w:val="28"/>
          <w:szCs w:val="28"/>
        </w:rPr>
        <w:t>质疑供应商名称：（盖章）</w:t>
      </w:r>
    </w:p>
    <w:p>
      <w:pPr>
        <w:spacing w:line="560" w:lineRule="exact"/>
        <w:ind w:firstLine="560" w:firstLineChars="200"/>
        <w:jc w:val="right"/>
        <w:rPr>
          <w:rFonts w:hint="eastAsia" w:ascii="宋体" w:hAnsi="宋体"/>
          <w:sz w:val="28"/>
          <w:szCs w:val="28"/>
        </w:rPr>
      </w:pPr>
      <w:r>
        <w:rPr>
          <w:rFonts w:hint="eastAsia" w:ascii="宋体" w:hAnsi="宋体"/>
          <w:sz w:val="28"/>
          <w:szCs w:val="28"/>
        </w:rPr>
        <w:t xml:space="preserve">         法定代表人（或授权代表）：（签字）</w:t>
      </w:r>
    </w:p>
    <w:p>
      <w:pPr>
        <w:spacing w:line="560" w:lineRule="exact"/>
        <w:ind w:firstLine="560" w:firstLineChars="200"/>
        <w:jc w:val="right"/>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jc w:val="left"/>
        <w:rPr>
          <w:rFonts w:hint="eastAsia" w:ascii="黑体" w:hAnsi="黑体" w:eastAsia="黑体" w:cs="黑体"/>
          <w:bCs/>
          <w:kern w:val="2"/>
          <w:sz w:val="28"/>
          <w:szCs w:val="28"/>
        </w:rPr>
      </w:pPr>
      <w:r>
        <w:rPr>
          <w:rFonts w:hint="eastAsia" w:ascii="黑体" w:hAnsi="黑体" w:cs="黑体"/>
          <w:b/>
          <w:sz w:val="28"/>
          <w:szCs w:val="28"/>
        </w:rPr>
        <w:br w:type="page"/>
      </w:r>
    </w:p>
    <w:p>
      <w:pPr>
        <w:pStyle w:val="7"/>
        <w:numPr>
          <w:ilvl w:val="2"/>
          <w:numId w:val="0"/>
        </w:numPr>
        <w:tabs>
          <w:tab w:val="clear" w:pos="1820"/>
        </w:tabs>
        <w:spacing w:before="120" w:beforeLines="50" w:after="120" w:afterLines="50" w:line="560" w:lineRule="exact"/>
        <w:ind w:leftChars="0"/>
        <w:rPr>
          <w:rFonts w:hint="eastAsia" w:asciiTheme="minorEastAsia" w:hAnsiTheme="minorEastAsia" w:eastAsiaTheme="minorEastAsia"/>
          <w:b w:val="0"/>
          <w:sz w:val="28"/>
          <w:szCs w:val="28"/>
        </w:rPr>
      </w:pPr>
      <w:bookmarkStart w:id="239" w:name="_Toc132190607"/>
      <w:r>
        <w:rPr>
          <w:rFonts w:hint="eastAsia" w:ascii="黑体" w:hAnsi="黑体" w:cs="黑体"/>
          <w:b w:val="0"/>
          <w:sz w:val="28"/>
          <w:szCs w:val="28"/>
        </w:rPr>
        <w:t>附页3 投诉书（格式）</w:t>
      </w:r>
      <w:bookmarkEnd w:id="235"/>
      <w:bookmarkEnd w:id="236"/>
      <w:bookmarkEnd w:id="237"/>
      <w:bookmarkEnd w:id="238"/>
      <w:bookmarkEnd w:id="239"/>
    </w:p>
    <w:p>
      <w:pPr>
        <w:spacing w:before="120" w:beforeLines="50" w:after="120" w:afterLines="50" w:line="560" w:lineRule="exact"/>
        <w:ind w:firstLine="640" w:firstLineChars="200"/>
        <w:jc w:val="right"/>
        <w:rPr>
          <w:rFonts w:hint="eastAsia" w:ascii="黑体" w:eastAsia="黑体" w:cs="宋体"/>
          <w:bCs/>
          <w:sz w:val="36"/>
          <w:szCs w:val="36"/>
        </w:rPr>
      </w:pPr>
      <w:r>
        <w:rPr>
          <w:rFonts w:hint="eastAsia" w:ascii="黑体" w:eastAsia="黑体" w:cs="宋体"/>
          <w:bCs/>
          <w:sz w:val="32"/>
          <w:szCs w:val="32"/>
        </w:rPr>
        <w:t>正  本</w:t>
      </w:r>
    </w:p>
    <w:p>
      <w:pPr>
        <w:spacing w:before="120" w:beforeLines="50" w:after="120" w:afterLines="50" w:line="560" w:lineRule="exact"/>
        <w:jc w:val="center"/>
        <w:rPr>
          <w:rFonts w:hint="eastAsia" w:ascii="黑体" w:hAnsi="黑体" w:eastAsia="黑体" w:cs="黑体"/>
          <w:bCs/>
          <w:sz w:val="36"/>
          <w:szCs w:val="36"/>
        </w:rPr>
      </w:pPr>
      <w:r>
        <w:rPr>
          <w:rFonts w:hint="eastAsia" w:ascii="黑体" w:hAnsi="黑体" w:eastAsia="黑体" w:cs="黑体"/>
          <w:bCs/>
          <w:sz w:val="36"/>
          <w:szCs w:val="36"/>
        </w:rPr>
        <w:t>投  诉  书</w:t>
      </w:r>
    </w:p>
    <w:p>
      <w:pPr>
        <w:spacing w:line="560" w:lineRule="exact"/>
        <w:ind w:firstLine="560" w:firstLineChars="200"/>
        <w:rPr>
          <w:rFonts w:hint="eastAsia"/>
          <w:sz w:val="28"/>
          <w:szCs w:val="28"/>
        </w:rPr>
      </w:pPr>
      <w:r>
        <w:rPr>
          <w:rFonts w:hint="eastAsia"/>
          <w:sz w:val="28"/>
          <w:szCs w:val="28"/>
        </w:rPr>
        <w:t>投诉人名称：</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通讯地址：</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法定代表人：</w:t>
      </w:r>
      <w:r>
        <w:rPr>
          <w:rFonts w:hint="eastAsia" w:ascii="仿宋_GB2312"/>
          <w:sz w:val="28"/>
          <w:szCs w:val="28"/>
          <w:u w:val="single"/>
        </w:rPr>
        <w:t xml:space="preserve">                   </w:t>
      </w:r>
      <w:r>
        <w:rPr>
          <w:rFonts w:hint="eastAsia"/>
          <w:sz w:val="28"/>
          <w:szCs w:val="28"/>
        </w:rPr>
        <w:t>联系电话：</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授权代表：</w:t>
      </w:r>
      <w:r>
        <w:rPr>
          <w:rFonts w:hint="eastAsia" w:ascii="仿宋_GB2312"/>
          <w:sz w:val="28"/>
          <w:szCs w:val="28"/>
          <w:u w:val="single"/>
        </w:rPr>
        <w:t xml:space="preserve">                     </w:t>
      </w:r>
      <w:r>
        <w:rPr>
          <w:rFonts w:hint="eastAsia"/>
          <w:sz w:val="28"/>
          <w:szCs w:val="28"/>
        </w:rPr>
        <w:t>联系电话：</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被投诉人名称：</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通讯地址：</w:t>
      </w:r>
      <w:r>
        <w:rPr>
          <w:rFonts w:hint="eastAsia" w:ascii="仿宋_GB2312"/>
          <w:sz w:val="28"/>
          <w:szCs w:val="28"/>
          <w:u w:val="single"/>
        </w:rPr>
        <w:t xml:space="preserve">                                        </w:t>
      </w:r>
    </w:p>
    <w:p>
      <w:pPr>
        <w:spacing w:line="560" w:lineRule="exact"/>
        <w:ind w:firstLine="560" w:firstLineChars="200"/>
        <w:rPr>
          <w:sz w:val="28"/>
          <w:szCs w:val="28"/>
        </w:rPr>
      </w:pPr>
      <w:r>
        <w:rPr>
          <w:rFonts w:hint="eastAsia"/>
          <w:sz w:val="28"/>
          <w:szCs w:val="28"/>
        </w:rPr>
        <w:t>联系人：</w:t>
      </w:r>
      <w:r>
        <w:rPr>
          <w:rFonts w:hint="eastAsia" w:ascii="仿宋_GB2312"/>
          <w:sz w:val="28"/>
          <w:szCs w:val="28"/>
          <w:u w:val="single"/>
        </w:rPr>
        <w:t xml:space="preserve">                    </w:t>
      </w:r>
      <w:r>
        <w:rPr>
          <w:sz w:val="28"/>
          <w:szCs w:val="28"/>
        </w:rPr>
        <w:t xml:space="preserve">   </w:t>
      </w:r>
      <w:r>
        <w:rPr>
          <w:rFonts w:hint="eastAsia"/>
          <w:sz w:val="28"/>
          <w:szCs w:val="28"/>
        </w:rPr>
        <w:t>联系电话：</w:t>
      </w:r>
      <w:r>
        <w:rPr>
          <w:rFonts w:hint="eastAsia" w:ascii="仿宋_GB2312"/>
          <w:sz w:val="28"/>
          <w:szCs w:val="28"/>
          <w:u w:val="single"/>
        </w:rPr>
        <w:t xml:space="preserve">         </w:t>
      </w:r>
    </w:p>
    <w:p>
      <w:pPr>
        <w:spacing w:before="240" w:beforeLines="100" w:line="560" w:lineRule="exact"/>
        <w:rPr>
          <w:rFonts w:ascii="宋体" w:hAnsi="宋体"/>
          <w:sz w:val="28"/>
          <w:szCs w:val="28"/>
        </w:rPr>
      </w:pPr>
      <w:r>
        <w:rPr>
          <w:rFonts w:hint="eastAsia" w:ascii="宋体" w:hAnsi="宋体"/>
          <w:sz w:val="28"/>
          <w:szCs w:val="28"/>
          <w:u w:val="single"/>
        </w:rPr>
        <w:t>（投诉受理部门名称）</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hint="eastAsia" w:ascii="宋体" w:hAnsi="宋体"/>
          <w:sz w:val="28"/>
          <w:szCs w:val="28"/>
        </w:rPr>
        <w:t>针对</w:t>
      </w:r>
      <w:r>
        <w:rPr>
          <w:rFonts w:hint="eastAsia" w:ascii="宋体" w:hAnsi="宋体"/>
          <w:sz w:val="28"/>
          <w:szCs w:val="28"/>
          <w:u w:val="single"/>
        </w:rPr>
        <w:t>（质疑受理单位名称）</w:t>
      </w:r>
      <w:r>
        <w:rPr>
          <w:rFonts w:hint="eastAsia" w:ascii="宋体" w:hAnsi="宋体"/>
          <w:sz w:val="28"/>
          <w:szCs w:val="28"/>
        </w:rPr>
        <w:t>组织的</w:t>
      </w:r>
      <w:r>
        <w:rPr>
          <w:rFonts w:hint="eastAsia" w:ascii="宋体" w:hAnsi="宋体"/>
          <w:sz w:val="28"/>
          <w:szCs w:val="28"/>
          <w:u w:val="single"/>
        </w:rPr>
        <w:t xml:space="preserve">    </w:t>
      </w:r>
      <w:r>
        <w:rPr>
          <w:rFonts w:hint="eastAsia" w:ascii="宋体" w:hAnsi="宋体"/>
          <w:sz w:val="28"/>
          <w:szCs w:val="28"/>
        </w:rPr>
        <w:t>采购项目（项目编号：</w:t>
      </w:r>
      <w:r>
        <w:rPr>
          <w:rFonts w:hint="eastAsia" w:ascii="宋体" w:hAnsi="宋体"/>
          <w:sz w:val="28"/>
          <w:szCs w:val="28"/>
          <w:u w:val="single"/>
        </w:rPr>
        <w:t xml:space="preserve">    </w:t>
      </w:r>
      <w:r>
        <w:rPr>
          <w:rFonts w:hint="eastAsia" w:ascii="宋体" w:hAnsi="宋体"/>
          <w:sz w:val="28"/>
          <w:szCs w:val="28"/>
        </w:rPr>
        <w:t>），我单位现就以下问题提起投诉：</w:t>
      </w:r>
    </w:p>
    <w:p>
      <w:pPr>
        <w:spacing w:line="560" w:lineRule="exact"/>
        <w:ind w:firstLine="560" w:firstLineChars="200"/>
        <w:rPr>
          <w:rFonts w:hint="eastAsia" w:ascii="宋体" w:hAnsi="宋体"/>
          <w:sz w:val="28"/>
          <w:szCs w:val="28"/>
        </w:rPr>
      </w:pPr>
      <w:r>
        <w:rPr>
          <w:rFonts w:hint="eastAsia" w:ascii="宋体" w:hAnsi="宋体"/>
          <w:sz w:val="28"/>
          <w:szCs w:val="28"/>
        </w:rPr>
        <w:t>一、投诉事项和与投诉事项相关的请求</w:t>
      </w:r>
    </w:p>
    <w:p>
      <w:pPr>
        <w:spacing w:line="560" w:lineRule="exact"/>
        <w:ind w:firstLine="560" w:firstLineChars="200"/>
        <w:rPr>
          <w:rFonts w:hint="eastAsia" w:ascii="宋体" w:hAnsi="宋体"/>
          <w:sz w:val="28"/>
          <w:szCs w:val="28"/>
        </w:rPr>
      </w:pPr>
      <w:r>
        <w:rPr>
          <w:rFonts w:hint="eastAsia" w:ascii="宋体" w:hAnsi="宋体"/>
          <w:sz w:val="28"/>
          <w:szCs w:val="28"/>
        </w:rPr>
        <w:t>二、事实依据</w:t>
      </w:r>
    </w:p>
    <w:p>
      <w:pPr>
        <w:spacing w:line="560" w:lineRule="exact"/>
        <w:ind w:firstLine="560" w:firstLineChars="200"/>
        <w:rPr>
          <w:rFonts w:hint="eastAsia" w:ascii="宋体" w:hAnsi="宋体"/>
          <w:sz w:val="28"/>
          <w:szCs w:val="28"/>
        </w:rPr>
      </w:pPr>
      <w:r>
        <w:rPr>
          <w:rFonts w:hint="eastAsia" w:ascii="宋体" w:hAnsi="宋体"/>
          <w:sz w:val="28"/>
          <w:szCs w:val="28"/>
        </w:rPr>
        <w:t>三、法律依据</w:t>
      </w:r>
    </w:p>
    <w:p>
      <w:pPr>
        <w:spacing w:line="560" w:lineRule="exact"/>
        <w:ind w:firstLine="560" w:firstLineChars="200"/>
        <w:rPr>
          <w:rFonts w:hint="eastAsia" w:ascii="宋体" w:hAnsi="宋体"/>
          <w:sz w:val="28"/>
          <w:szCs w:val="28"/>
        </w:rPr>
      </w:pPr>
      <w:r>
        <w:rPr>
          <w:rFonts w:hint="eastAsia" w:ascii="宋体" w:hAnsi="宋体"/>
          <w:sz w:val="28"/>
          <w:szCs w:val="28"/>
        </w:rPr>
        <w:t>四、质疑和质疑答复情况及相关证明材料</w:t>
      </w:r>
    </w:p>
    <w:p>
      <w:pPr>
        <w:spacing w:line="560" w:lineRule="exact"/>
        <w:ind w:firstLine="560" w:firstLineChars="200"/>
        <w:rPr>
          <w:rFonts w:hint="eastAsia" w:ascii="宋体" w:hAnsi="宋体"/>
          <w:sz w:val="28"/>
          <w:szCs w:val="28"/>
        </w:rPr>
      </w:pPr>
      <w:r>
        <w:rPr>
          <w:rFonts w:hint="eastAsia" w:ascii="宋体" w:hAnsi="宋体"/>
          <w:sz w:val="28"/>
          <w:szCs w:val="28"/>
        </w:rPr>
        <w:t>……</w:t>
      </w:r>
    </w:p>
    <w:p>
      <w:pPr>
        <w:spacing w:line="560" w:lineRule="exact"/>
        <w:ind w:firstLine="4606" w:firstLineChars="1645"/>
        <w:rPr>
          <w:rFonts w:hint="eastAsia" w:ascii="宋体" w:hAnsi="宋体"/>
          <w:sz w:val="28"/>
          <w:szCs w:val="28"/>
        </w:rPr>
      </w:pPr>
      <w:r>
        <w:rPr>
          <w:rFonts w:hint="eastAsia" w:ascii="宋体" w:hAnsi="宋体"/>
          <w:sz w:val="28"/>
          <w:szCs w:val="28"/>
        </w:rPr>
        <w:t>投诉人名称：（盖章）</w:t>
      </w:r>
    </w:p>
    <w:p>
      <w:pPr>
        <w:spacing w:line="560" w:lineRule="exact"/>
        <w:ind w:firstLine="560" w:firstLineChars="200"/>
        <w:jc w:val="right"/>
        <w:rPr>
          <w:rFonts w:hint="eastAsia" w:ascii="宋体" w:hAnsi="宋体"/>
          <w:sz w:val="28"/>
          <w:szCs w:val="28"/>
        </w:rPr>
      </w:pPr>
      <w:r>
        <w:rPr>
          <w:rFonts w:hint="eastAsia" w:ascii="宋体" w:hAnsi="宋体"/>
          <w:sz w:val="28"/>
          <w:szCs w:val="28"/>
        </w:rPr>
        <w:t xml:space="preserve">        法定代表人（或授权代表）：（签字）</w:t>
      </w:r>
    </w:p>
    <w:p>
      <w:pPr>
        <w:pStyle w:val="24"/>
        <w:adjustRightInd w:val="0"/>
        <w:snapToGrid w:val="0"/>
        <w:spacing w:line="560" w:lineRule="exact"/>
        <w:jc w:val="right"/>
        <w:rPr>
          <w:rFonts w:hint="eastAsia" w:hAnsi="宋体"/>
          <w:bCs/>
          <w:sz w:val="32"/>
          <w:szCs w:val="32"/>
        </w:rPr>
      </w:pPr>
      <w:r>
        <w:rPr>
          <w:rFonts w:hint="eastAsia" w:hAnsi="宋体" w:cs="Times New Roman"/>
          <w:kern w:val="0"/>
          <w:sz w:val="28"/>
          <w:szCs w:val="28"/>
        </w:rPr>
        <w:t xml:space="preserve">    </w:t>
      </w:r>
      <w:r>
        <w:rPr>
          <w:rFonts w:hint="eastAsia" w:hAnsi="宋体" w:cs="Times New Roman"/>
          <w:sz w:val="28"/>
          <w:szCs w:val="28"/>
          <w:u w:val="single"/>
        </w:rPr>
        <w:t xml:space="preserve">    </w:t>
      </w:r>
      <w:r>
        <w:rPr>
          <w:rFonts w:hint="eastAsia" w:hAnsi="宋体" w:cs="Times New Roman"/>
          <w:kern w:val="0"/>
          <w:sz w:val="28"/>
          <w:szCs w:val="28"/>
        </w:rPr>
        <w:t>年</w:t>
      </w:r>
      <w:r>
        <w:rPr>
          <w:rFonts w:hint="eastAsia" w:hAnsi="宋体" w:cs="Times New Roman"/>
          <w:sz w:val="28"/>
          <w:szCs w:val="28"/>
          <w:u w:val="single"/>
        </w:rPr>
        <w:t xml:space="preserve">    </w:t>
      </w:r>
      <w:r>
        <w:rPr>
          <w:rFonts w:hint="eastAsia" w:hAnsi="宋体" w:cs="Times New Roman"/>
          <w:kern w:val="0"/>
          <w:sz w:val="28"/>
          <w:szCs w:val="28"/>
        </w:rPr>
        <w:t>月</w:t>
      </w:r>
      <w:r>
        <w:rPr>
          <w:rFonts w:hint="eastAsia" w:hAnsi="宋体" w:cs="Times New Roman"/>
          <w:sz w:val="28"/>
          <w:szCs w:val="28"/>
          <w:u w:val="single"/>
        </w:rPr>
        <w:t xml:space="preserve">    </w:t>
      </w:r>
      <w:r>
        <w:rPr>
          <w:rFonts w:hint="eastAsia" w:hAnsi="宋体" w:cs="Times New Roman"/>
          <w:kern w:val="0"/>
          <w:sz w:val="28"/>
          <w:szCs w:val="28"/>
        </w:rPr>
        <w:t>日</w:t>
      </w:r>
    </w:p>
    <w:p>
      <w:pPr>
        <w:widowControl/>
        <w:jc w:val="left"/>
        <w:rPr>
          <w:rFonts w:ascii="宋体" w:hAnsi="宋体" w:cs="Courier New"/>
          <w:bCs/>
          <w:sz w:val="32"/>
          <w:szCs w:val="32"/>
        </w:rPr>
        <w:sectPr>
          <w:pgSz w:w="11906" w:h="16838"/>
          <w:pgMar w:top="1418" w:right="1134" w:bottom="1418" w:left="1418" w:header="850" w:footer="851" w:gutter="0"/>
          <w:cols w:space="720" w:num="1"/>
        </w:sectPr>
      </w:pPr>
    </w:p>
    <w:p>
      <w:pPr>
        <w:pStyle w:val="6"/>
        <w:keepNext w:val="0"/>
        <w:keepLines w:val="0"/>
        <w:adjustRightInd w:val="0"/>
        <w:snapToGrid w:val="0"/>
        <w:spacing w:line="560" w:lineRule="exact"/>
        <w:jc w:val="center"/>
        <w:rPr>
          <w:rFonts w:hint="eastAsia"/>
          <w:b w:val="0"/>
          <w:bCs/>
          <w:sz w:val="44"/>
          <w:szCs w:val="44"/>
          <w:lang w:val="zh-CN"/>
        </w:rPr>
      </w:pPr>
      <w:bookmarkStart w:id="240" w:name="_Toc774"/>
      <w:bookmarkStart w:id="241" w:name="_Toc13851"/>
      <w:bookmarkStart w:id="242" w:name="_Toc19931"/>
      <w:bookmarkStart w:id="243" w:name="_Toc112317783"/>
      <w:bookmarkStart w:id="244" w:name="_Toc14712"/>
      <w:bookmarkStart w:id="245" w:name="_Toc132190608"/>
      <w:r>
        <w:rPr>
          <w:rFonts w:hint="eastAsia"/>
          <w:b w:val="0"/>
          <w:szCs w:val="44"/>
          <w:lang w:val="zh-CN"/>
        </w:rPr>
        <w:t>第二章</w:t>
      </w:r>
      <w:r>
        <w:rPr>
          <w:b w:val="0"/>
          <w:szCs w:val="44"/>
          <w:lang w:val="zh-CN"/>
        </w:rPr>
        <w:t xml:space="preserve"> </w:t>
      </w:r>
      <w:bookmarkEnd w:id="240"/>
      <w:bookmarkEnd w:id="241"/>
      <w:bookmarkEnd w:id="242"/>
      <w:bookmarkEnd w:id="243"/>
      <w:bookmarkEnd w:id="244"/>
      <w:r>
        <w:rPr>
          <w:rFonts w:hint="eastAsia"/>
          <w:b w:val="0"/>
          <w:szCs w:val="44"/>
          <w:lang w:val="zh-CN"/>
        </w:rPr>
        <w:t>合同通用条款</w:t>
      </w:r>
      <w:bookmarkEnd w:id="245"/>
    </w:p>
    <w:p>
      <w:pPr>
        <w:pStyle w:val="7"/>
        <w:numPr>
          <w:ilvl w:val="2"/>
          <w:numId w:val="0"/>
        </w:numPr>
        <w:tabs>
          <w:tab w:val="clear" w:pos="1820"/>
        </w:tabs>
        <w:spacing w:before="0" w:after="0" w:line="560" w:lineRule="exact"/>
        <w:ind w:leftChars="200"/>
        <w:rPr>
          <w:rFonts w:ascii="黑体" w:hAnsi="黑体" w:cs="黑体"/>
          <w:b w:val="0"/>
          <w:sz w:val="28"/>
          <w:szCs w:val="28"/>
        </w:rPr>
      </w:pPr>
      <w:bookmarkStart w:id="246" w:name="_Toc25781"/>
      <w:bookmarkStart w:id="247" w:name="_Toc7292"/>
      <w:bookmarkStart w:id="248" w:name="_Toc6390"/>
      <w:bookmarkStart w:id="249" w:name="_Toc18663"/>
      <w:bookmarkStart w:id="250" w:name="_Toc132190609"/>
      <w:r>
        <w:rPr>
          <w:rFonts w:hint="eastAsia" w:ascii="黑体" w:hAnsi="黑体" w:cs="黑体"/>
          <w:b w:val="0"/>
          <w:sz w:val="28"/>
          <w:szCs w:val="28"/>
        </w:rPr>
        <w:t>一、定义</w:t>
      </w:r>
      <w:bookmarkEnd w:id="246"/>
      <w:bookmarkEnd w:id="247"/>
      <w:bookmarkEnd w:id="248"/>
      <w:bookmarkEnd w:id="249"/>
      <w:bookmarkEnd w:id="250"/>
    </w:p>
    <w:p>
      <w:pPr>
        <w:spacing w:line="560" w:lineRule="exact"/>
        <w:ind w:firstLine="560" w:firstLineChars="200"/>
        <w:rPr>
          <w:rFonts w:hint="eastAsia" w:asciiTheme="minorEastAsia" w:hAnsiTheme="minorEastAsia" w:eastAsiaTheme="minorEastAsia"/>
          <w:bCs/>
          <w:sz w:val="28"/>
          <w:szCs w:val="28"/>
        </w:rPr>
      </w:pPr>
      <w:r>
        <w:rPr>
          <w:rFonts w:hint="eastAsia"/>
          <w:bCs/>
          <w:sz w:val="28"/>
          <w:szCs w:val="28"/>
        </w:rPr>
        <w:t>（一）</w:t>
      </w:r>
      <w:r>
        <w:rPr>
          <w:rFonts w:hint="eastAsia" w:asciiTheme="minorEastAsia" w:hAnsiTheme="minorEastAsia" w:eastAsiaTheme="minorEastAsia"/>
          <w:bCs/>
          <w:sz w:val="28"/>
          <w:szCs w:val="28"/>
        </w:rPr>
        <w:t>“合同”是指甲方和乙方（以下简称双方）已达成的协议，即由双方签订的合同格式中的文件，包括所有的附件、附录和组成合同部分的所有其他文件。</w:t>
      </w:r>
    </w:p>
    <w:p>
      <w:pPr>
        <w:spacing w:line="560" w:lineRule="exact"/>
        <w:ind w:firstLine="560" w:firstLineChars="200"/>
        <w:rPr>
          <w:rFonts w:hint="eastAsia" w:asciiTheme="minorEastAsia" w:hAnsiTheme="minorEastAsia" w:eastAsiaTheme="minorEastAsia"/>
          <w:bCs/>
          <w:sz w:val="28"/>
          <w:szCs w:val="28"/>
        </w:rPr>
      </w:pPr>
      <w:r>
        <w:rPr>
          <w:rFonts w:hint="eastAsia"/>
          <w:bCs/>
          <w:sz w:val="28"/>
          <w:szCs w:val="28"/>
        </w:rPr>
        <w:t>（二）</w:t>
      </w:r>
      <w:r>
        <w:rPr>
          <w:rFonts w:hint="eastAsia" w:asciiTheme="minorEastAsia" w:hAnsiTheme="minorEastAsia" w:eastAsiaTheme="minorEastAsia"/>
          <w:bCs/>
          <w:sz w:val="28"/>
          <w:szCs w:val="28"/>
        </w:rPr>
        <w:t>“合同价格”是指根据合同规定，在乙方全面正确地履行合同义务时支付给乙方的款项。</w:t>
      </w:r>
    </w:p>
    <w:p>
      <w:pPr>
        <w:spacing w:line="560" w:lineRule="exact"/>
        <w:ind w:firstLine="560" w:firstLineChars="200"/>
        <w:rPr>
          <w:rFonts w:hint="eastAsia"/>
          <w:sz w:val="21"/>
        </w:rPr>
      </w:pPr>
      <w:r>
        <w:rPr>
          <w:rFonts w:hint="eastAsia"/>
          <w:bCs/>
          <w:sz w:val="28"/>
          <w:szCs w:val="28"/>
        </w:rPr>
        <w:t>（三）“甲方”</w:t>
      </w:r>
      <w:r>
        <w:rPr>
          <w:rFonts w:hint="eastAsia" w:asciiTheme="minorEastAsia" w:hAnsiTheme="minorEastAsia" w:eastAsiaTheme="minorEastAsia"/>
          <w:bCs/>
          <w:sz w:val="28"/>
          <w:szCs w:val="28"/>
        </w:rPr>
        <w:t>是</w:t>
      </w:r>
      <w:r>
        <w:rPr>
          <w:rFonts w:hint="eastAsia"/>
          <w:bCs/>
          <w:sz w:val="28"/>
          <w:szCs w:val="28"/>
        </w:rPr>
        <w:t>指采购物资和相关服务的采购单位。</w:t>
      </w:r>
    </w:p>
    <w:p>
      <w:pPr>
        <w:spacing w:line="560" w:lineRule="exact"/>
        <w:ind w:firstLine="560" w:firstLineChars="200"/>
      </w:pPr>
      <w:r>
        <w:rPr>
          <w:rFonts w:hint="eastAsia"/>
          <w:bCs/>
          <w:sz w:val="28"/>
          <w:szCs w:val="28"/>
        </w:rPr>
        <w:t>（四）“乙方”</w:t>
      </w:r>
      <w:r>
        <w:rPr>
          <w:rFonts w:hint="eastAsia" w:asciiTheme="minorEastAsia" w:hAnsiTheme="minorEastAsia" w:eastAsiaTheme="minorEastAsia"/>
          <w:bCs/>
          <w:sz w:val="28"/>
          <w:szCs w:val="28"/>
        </w:rPr>
        <w:t>是</w:t>
      </w:r>
      <w:r>
        <w:rPr>
          <w:rFonts w:hint="eastAsia"/>
          <w:bCs/>
          <w:sz w:val="28"/>
          <w:szCs w:val="28"/>
        </w:rPr>
        <w:t>指中标后提供物资和相关服务的供应商。</w:t>
      </w:r>
      <w:bookmarkStart w:id="251" w:name="_Toc30125"/>
      <w:bookmarkStart w:id="252" w:name="_Toc12135"/>
      <w:bookmarkStart w:id="253" w:name="_Toc28764"/>
      <w:bookmarkStart w:id="254" w:name="_Toc26599"/>
    </w:p>
    <w:p>
      <w:pPr>
        <w:pStyle w:val="7"/>
        <w:numPr>
          <w:ilvl w:val="2"/>
          <w:numId w:val="0"/>
        </w:numPr>
        <w:tabs>
          <w:tab w:val="clear" w:pos="1820"/>
        </w:tabs>
        <w:spacing w:before="0" w:after="0" w:line="560" w:lineRule="exact"/>
        <w:ind w:firstLine="280" w:firstLineChars="100"/>
        <w:rPr>
          <w:rFonts w:ascii="黑体" w:hAnsi="黑体" w:cs="黑体"/>
          <w:b w:val="0"/>
          <w:sz w:val="28"/>
          <w:szCs w:val="28"/>
        </w:rPr>
      </w:pPr>
      <w:bookmarkStart w:id="255" w:name="_Toc132190610"/>
      <w:r>
        <w:rPr>
          <w:rFonts w:hint="eastAsia" w:ascii="黑体" w:hAnsi="黑体" w:cs="黑体"/>
          <w:b w:val="0"/>
          <w:sz w:val="28"/>
          <w:szCs w:val="28"/>
        </w:rPr>
        <w:t>二、物资编目编码、打码贴签要求</w:t>
      </w:r>
      <w:bookmarkEnd w:id="251"/>
      <w:bookmarkEnd w:id="252"/>
      <w:bookmarkEnd w:id="253"/>
      <w:bookmarkEnd w:id="254"/>
      <w:bookmarkEnd w:id="255"/>
    </w:p>
    <w:p>
      <w:pPr>
        <w:spacing w:line="560" w:lineRule="exact"/>
        <w:ind w:firstLine="560" w:firstLineChars="200"/>
        <w:rPr>
          <w:rFonts w:hint="eastAsia"/>
          <w:bCs/>
          <w:sz w:val="28"/>
          <w:szCs w:val="28"/>
        </w:rPr>
      </w:pPr>
      <w:r>
        <w:rPr>
          <w:rFonts w:hint="eastAsia"/>
          <w:bCs/>
          <w:sz w:val="28"/>
          <w:szCs w:val="28"/>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pPr>
        <w:spacing w:line="560" w:lineRule="exact"/>
        <w:ind w:firstLine="560" w:firstLineChars="200"/>
        <w:rPr>
          <w:bCs/>
          <w:sz w:val="28"/>
          <w:szCs w:val="28"/>
        </w:rPr>
      </w:pPr>
      <w:r>
        <w:rPr>
          <w:rFonts w:hint="eastAsia" w:ascii="宋体" w:hAnsi="宋体" w:cs="宋体"/>
          <w:bCs/>
          <w:sz w:val="28"/>
          <w:szCs w:val="28"/>
        </w:rPr>
        <w:t>1.</w:t>
      </w:r>
      <w:r>
        <w:rPr>
          <w:rFonts w:hint="eastAsia"/>
          <w:bCs/>
          <w:sz w:val="28"/>
          <w:szCs w:val="28"/>
        </w:rPr>
        <w:t>乙方可通过军队采购网互联网网站</w:t>
      </w:r>
      <w:r>
        <w:rPr>
          <w:rFonts w:hint="eastAsia" w:asciiTheme="minorEastAsia" w:hAnsiTheme="minorEastAsia" w:eastAsiaTheme="minorEastAsia"/>
          <w:bCs/>
          <w:sz w:val="28"/>
          <w:szCs w:val="28"/>
        </w:rPr>
        <w:t>（www.plap.mil.cn）或“通用物资编目数据平台”（www.ngcode.cn/catalog）</w:t>
      </w:r>
      <w:r>
        <w:rPr>
          <w:rFonts w:hint="eastAsia"/>
          <w:bCs/>
          <w:sz w:val="28"/>
          <w:szCs w:val="28"/>
        </w:rPr>
        <w:t>，下载安装编目用户终端软件。按要求录入采购物资数据，导入技术规范、产品说明书、图片等便于物资识别的电子文件资料，生成编目申请数据包，提交甲方或承担军队资产编目编码职能的单位。</w:t>
      </w:r>
    </w:p>
    <w:p>
      <w:pPr>
        <w:spacing w:line="560" w:lineRule="exact"/>
        <w:ind w:firstLine="560" w:firstLineChars="200"/>
        <w:rPr>
          <w:bCs/>
          <w:sz w:val="28"/>
          <w:szCs w:val="28"/>
        </w:rPr>
      </w:pPr>
      <w:r>
        <w:rPr>
          <w:rFonts w:hint="eastAsia" w:ascii="宋体" w:hAnsi="宋体" w:cs="宋体"/>
          <w:bCs/>
          <w:sz w:val="28"/>
          <w:szCs w:val="28"/>
        </w:rPr>
        <w:t>2.</w:t>
      </w:r>
      <w:r>
        <w:rPr>
          <w:rFonts w:hint="eastAsia"/>
          <w:bCs/>
          <w:sz w:val="28"/>
          <w:szCs w:val="28"/>
        </w:rPr>
        <w:t>乙方应当配合甲方或承担军队资产编目编码职能的单位，补充完善编目数据。</w:t>
      </w:r>
    </w:p>
    <w:p>
      <w:pPr>
        <w:spacing w:line="560" w:lineRule="exact"/>
        <w:ind w:firstLine="560" w:firstLineChars="200"/>
        <w:rPr>
          <w:rFonts w:ascii="宋体" w:hAnsi="宋体" w:cs="宋体"/>
          <w:bCs/>
          <w:sz w:val="28"/>
          <w:szCs w:val="28"/>
        </w:rPr>
      </w:pPr>
      <w:r>
        <w:rPr>
          <w:rFonts w:hint="eastAsia" w:ascii="宋体" w:hAnsi="宋体" w:cs="宋体"/>
          <w:bCs/>
          <w:sz w:val="28"/>
          <w:szCs w:val="28"/>
        </w:rPr>
        <w:t>3.乙方通过甲方接收赋码后的编目数据包，导入编目用户终端软件，获取品种码，正确填入合同文本，用于打码贴签、验收结算等。</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4.甲方有单件管理需要的，乙方应当依据规则或示例程序自行生成单件码。</w:t>
      </w:r>
    </w:p>
    <w:p>
      <w:pPr>
        <w:spacing w:line="560" w:lineRule="exact"/>
        <w:ind w:firstLine="560" w:firstLineChars="200"/>
        <w:rPr>
          <w:rFonts w:hint="eastAsia"/>
          <w:bCs/>
          <w:sz w:val="28"/>
          <w:szCs w:val="28"/>
        </w:rPr>
      </w:pPr>
      <w:r>
        <w:rPr>
          <w:rFonts w:hint="eastAsia"/>
          <w:bCs/>
          <w:sz w:val="28"/>
          <w:szCs w:val="28"/>
        </w:rPr>
        <w:t>（二）乙方应当按照统一要求在物资交付前完成打码贴签工作。</w:t>
      </w:r>
    </w:p>
    <w:p>
      <w:pPr>
        <w:spacing w:line="560" w:lineRule="exact"/>
        <w:ind w:firstLine="560" w:firstLineChars="200"/>
        <w:rPr>
          <w:bCs/>
          <w:sz w:val="28"/>
          <w:szCs w:val="28"/>
        </w:rPr>
      </w:pPr>
      <w:r>
        <w:rPr>
          <w:rFonts w:hint="eastAsia" w:ascii="宋体" w:hAnsi="宋体" w:cs="宋体"/>
          <w:bCs/>
          <w:sz w:val="28"/>
          <w:szCs w:val="28"/>
        </w:rPr>
        <w:t>1.</w:t>
      </w:r>
      <w:r>
        <w:rPr>
          <w:rFonts w:hint="eastAsia"/>
          <w:bCs/>
          <w:sz w:val="28"/>
          <w:szCs w:val="28"/>
        </w:rPr>
        <w:t>物资标识标签格式、张挂位置、材质、码制等内容，应当符合军队有关要求。</w:t>
      </w:r>
    </w:p>
    <w:p>
      <w:pPr>
        <w:spacing w:line="560" w:lineRule="exact"/>
        <w:ind w:firstLine="560" w:firstLineChars="200"/>
        <w:rPr>
          <w:bCs/>
          <w:sz w:val="28"/>
          <w:szCs w:val="28"/>
        </w:rPr>
      </w:pPr>
      <w:r>
        <w:rPr>
          <w:rFonts w:hint="eastAsia" w:ascii="宋体" w:hAnsi="宋体" w:cs="宋体"/>
          <w:bCs/>
          <w:sz w:val="28"/>
          <w:szCs w:val="28"/>
        </w:rPr>
        <w:t>2.</w:t>
      </w:r>
      <w:r>
        <w:rPr>
          <w:rFonts w:hint="eastAsia"/>
          <w:bCs/>
          <w:sz w:val="28"/>
          <w:szCs w:val="28"/>
        </w:rPr>
        <w:t>物资标识标签上的品种码应当与合同物资明细表中的品种码完全一致。</w:t>
      </w:r>
    </w:p>
    <w:p>
      <w:pPr>
        <w:spacing w:line="560" w:lineRule="exact"/>
        <w:ind w:firstLine="560" w:firstLineChars="200"/>
        <w:rPr>
          <w:bCs/>
          <w:sz w:val="28"/>
          <w:szCs w:val="28"/>
        </w:rPr>
      </w:pPr>
      <w:r>
        <w:rPr>
          <w:rFonts w:hint="eastAsia"/>
          <w:bCs/>
          <w:sz w:val="28"/>
          <w:szCs w:val="28"/>
        </w:rPr>
        <w:t>（三）物资编目数据填报和打码贴签情况，列入出厂验收、接收验收项目；编目数据、标识标签不符合规范要求的，验收不予通过，不得进入物资储存单位。乙方应当在</w:t>
      </w:r>
      <w:r>
        <w:rPr>
          <w:bCs/>
          <w:sz w:val="28"/>
          <w:szCs w:val="28"/>
        </w:rPr>
        <w:t>7</w:t>
      </w:r>
      <w:r>
        <w:rPr>
          <w:rFonts w:hint="eastAsia"/>
          <w:bCs/>
          <w:sz w:val="28"/>
          <w:szCs w:val="28"/>
        </w:rPr>
        <w:t>日内完成整改，重新协调甲方组织验收。</w:t>
      </w:r>
    </w:p>
    <w:p>
      <w:pPr>
        <w:pStyle w:val="7"/>
        <w:spacing w:before="0" w:after="0" w:line="560" w:lineRule="exact"/>
        <w:ind w:firstLine="560" w:firstLineChars="200"/>
        <w:rPr>
          <w:rFonts w:ascii="黑体" w:hAnsi="黑体" w:cs="黑体"/>
          <w:b w:val="0"/>
          <w:sz w:val="28"/>
          <w:szCs w:val="28"/>
        </w:rPr>
      </w:pPr>
      <w:bookmarkStart w:id="256" w:name="_Toc132190611"/>
      <w:r>
        <w:rPr>
          <w:rFonts w:hint="eastAsia" w:ascii="黑体" w:hAnsi="黑体" w:cs="黑体"/>
          <w:b w:val="0"/>
          <w:sz w:val="28"/>
          <w:szCs w:val="28"/>
        </w:rPr>
        <w:t>三、履约验收</w:t>
      </w:r>
      <w:bookmarkEnd w:id="256"/>
    </w:p>
    <w:p>
      <w:pPr>
        <w:spacing w:line="560" w:lineRule="exact"/>
        <w:ind w:firstLine="560" w:firstLineChars="200"/>
        <w:rPr>
          <w:rFonts w:hint="eastAsia" w:eastAsia="仿宋_GB2312"/>
          <w:bCs/>
          <w:sz w:val="28"/>
          <w:szCs w:val="28"/>
        </w:rPr>
      </w:pPr>
      <w:r>
        <w:rPr>
          <w:rFonts w:hint="eastAsia"/>
          <w:bCs/>
          <w:sz w:val="28"/>
          <w:szCs w:val="28"/>
        </w:rPr>
        <w:t>（一）物资交付前，乙方应当对物资进行全面自检，符合交付条件后，由甲方组织验收。</w:t>
      </w:r>
    </w:p>
    <w:p>
      <w:pPr>
        <w:spacing w:line="560" w:lineRule="exact"/>
        <w:ind w:firstLine="560" w:firstLineChars="200"/>
        <w:rPr>
          <w:bCs/>
          <w:sz w:val="28"/>
          <w:szCs w:val="28"/>
        </w:rPr>
      </w:pPr>
      <w:r>
        <w:rPr>
          <w:rFonts w:hint="eastAsia"/>
          <w:bCs/>
          <w:sz w:val="28"/>
          <w:szCs w:val="28"/>
        </w:rPr>
        <w:t>（二）在交货时乙方应当对所提供的产品出具国家标准规定的产品合格证或国家认可的行业标准规定的产品合格证。</w:t>
      </w:r>
    </w:p>
    <w:p>
      <w:pPr>
        <w:spacing w:line="560" w:lineRule="exact"/>
        <w:ind w:firstLine="560" w:firstLineChars="200"/>
        <w:rPr>
          <w:bCs/>
          <w:sz w:val="28"/>
          <w:szCs w:val="28"/>
        </w:rPr>
      </w:pPr>
      <w:r>
        <w:rPr>
          <w:rFonts w:hint="eastAsia"/>
          <w:bCs/>
          <w:sz w:val="28"/>
          <w:szCs w:val="28"/>
        </w:rPr>
        <w:t>（三）甲方在交货前有权对乙方提供的物资、技术、服务提出异议，并采取相关措施确保质量合格。</w:t>
      </w:r>
    </w:p>
    <w:p>
      <w:pPr>
        <w:spacing w:line="560" w:lineRule="exact"/>
        <w:ind w:firstLine="560" w:firstLineChars="200"/>
        <w:rPr>
          <w:bCs/>
          <w:sz w:val="28"/>
          <w:szCs w:val="28"/>
        </w:rPr>
      </w:pPr>
      <w:r>
        <w:rPr>
          <w:rFonts w:hint="eastAsia"/>
          <w:bCs/>
          <w:sz w:val="28"/>
          <w:szCs w:val="28"/>
        </w:rPr>
        <w:t>（四）具体组织程序、验收标准和方法，按甲方规定程序执行，乙方配合实施。</w:t>
      </w:r>
    </w:p>
    <w:p>
      <w:pPr>
        <w:spacing w:line="560" w:lineRule="exact"/>
        <w:ind w:firstLine="560" w:firstLineChars="200"/>
        <w:rPr>
          <w:rFonts w:ascii="仿宋_GB2312"/>
          <w:bCs/>
          <w:sz w:val="28"/>
          <w:szCs w:val="28"/>
        </w:rPr>
      </w:pPr>
      <w:r>
        <w:rPr>
          <w:rFonts w:hint="eastAsia"/>
          <w:bCs/>
          <w:sz w:val="28"/>
          <w:szCs w:val="28"/>
        </w:rPr>
        <w:t>※（五）产品出厂验收不合格，甲方有权拒收物资和解除采购合同，由此造成的损失，由乙方承担。出厂验收过程中，乙方可有</w:t>
      </w:r>
      <w:r>
        <w:rPr>
          <w:bCs/>
          <w:sz w:val="28"/>
          <w:szCs w:val="28"/>
        </w:rPr>
        <w:t>1</w:t>
      </w:r>
      <w:r>
        <w:rPr>
          <w:rFonts w:hint="eastAsia"/>
          <w:bCs/>
          <w:sz w:val="28"/>
          <w:szCs w:val="28"/>
        </w:rPr>
        <w:t>次整改机会，若第一次检验未通过，甲方将书面通知乙方限期整改，整改后进行第二次检验，</w:t>
      </w:r>
      <w:r>
        <w:rPr>
          <w:rFonts w:hint="eastAsia" w:ascii="仿宋_GB2312"/>
          <w:bCs/>
          <w:sz w:val="28"/>
          <w:szCs w:val="28"/>
        </w:rPr>
        <w:t>检验合格后方可出厂。若第二次检验仍未通过的，甲方有权取消或解除采购合同，由此造成的损失，由</w:t>
      </w:r>
      <w:r>
        <w:rPr>
          <w:rFonts w:hint="eastAsia"/>
          <w:bCs/>
          <w:sz w:val="28"/>
          <w:szCs w:val="28"/>
        </w:rPr>
        <w:t>乙方</w:t>
      </w:r>
      <w:r>
        <w:rPr>
          <w:rFonts w:hint="eastAsia" w:ascii="仿宋_GB2312"/>
          <w:bCs/>
          <w:sz w:val="28"/>
          <w:szCs w:val="28"/>
        </w:rPr>
        <w:t>承担。</w:t>
      </w:r>
    </w:p>
    <w:p>
      <w:pPr>
        <w:pStyle w:val="20"/>
        <w:spacing w:line="560" w:lineRule="exact"/>
        <w:ind w:firstLine="560" w:firstLineChars="200"/>
        <w:rPr>
          <w:rFonts w:hint="eastAsia"/>
        </w:rPr>
      </w:pPr>
      <w:r>
        <w:rPr>
          <w:rFonts w:hint="eastAsia"/>
          <w:bCs/>
          <w:sz w:val="28"/>
          <w:szCs w:val="28"/>
        </w:rPr>
        <w:t>※</w:t>
      </w:r>
      <w:r>
        <w:rPr>
          <w:rFonts w:hint="eastAsia" w:ascii="仿宋_GB2312"/>
          <w:bCs/>
          <w:sz w:val="28"/>
          <w:szCs w:val="28"/>
        </w:rPr>
        <w:t>（六）甲方在产品使用过程中，发现产品性能指标未达到要求的，</w:t>
      </w:r>
      <w:r>
        <w:rPr>
          <w:rFonts w:hint="eastAsia"/>
          <w:bCs/>
          <w:sz w:val="28"/>
          <w:szCs w:val="28"/>
        </w:rPr>
        <w:t>乙方</w:t>
      </w:r>
      <w:r>
        <w:rPr>
          <w:rFonts w:hint="eastAsia" w:ascii="仿宋_GB2312"/>
          <w:bCs/>
          <w:sz w:val="28"/>
          <w:szCs w:val="28"/>
        </w:rPr>
        <w:t>按照甲方明确的整改期限（不超过1个月），可有1次整改机会，在规定期限内未整改完毕的，由此造成的损失，由</w:t>
      </w:r>
      <w:r>
        <w:rPr>
          <w:rFonts w:hint="eastAsia"/>
          <w:bCs/>
          <w:sz w:val="28"/>
          <w:szCs w:val="28"/>
        </w:rPr>
        <w:t>乙方</w:t>
      </w:r>
      <w:r>
        <w:rPr>
          <w:rFonts w:hint="eastAsia" w:ascii="仿宋_GB2312"/>
          <w:bCs/>
          <w:sz w:val="28"/>
          <w:szCs w:val="28"/>
        </w:rPr>
        <w:t>承担</w:t>
      </w:r>
      <w:r>
        <w:rPr>
          <w:rFonts w:hint="eastAsia"/>
          <w:bCs/>
          <w:sz w:val="28"/>
          <w:szCs w:val="28"/>
        </w:rPr>
        <w:t>。</w:t>
      </w:r>
    </w:p>
    <w:p>
      <w:pPr>
        <w:pStyle w:val="7"/>
        <w:numPr>
          <w:ilvl w:val="2"/>
          <w:numId w:val="0"/>
        </w:numPr>
        <w:tabs>
          <w:tab w:val="clear" w:pos="1820"/>
        </w:tabs>
        <w:spacing w:before="0" w:after="0" w:line="560" w:lineRule="exact"/>
        <w:ind w:leftChars="200"/>
        <w:jc w:val="center"/>
        <w:rPr>
          <w:rFonts w:ascii="黑体" w:hAnsi="黑体" w:cs="黑体"/>
          <w:b w:val="0"/>
          <w:sz w:val="28"/>
          <w:szCs w:val="28"/>
        </w:rPr>
      </w:pPr>
      <w:bookmarkStart w:id="257" w:name="_Toc132190612"/>
      <w:r>
        <w:rPr>
          <w:rFonts w:hint="eastAsia" w:ascii="黑体" w:hAnsi="黑体" w:cs="黑体"/>
          <w:b w:val="0"/>
          <w:sz w:val="28"/>
          <w:szCs w:val="28"/>
        </w:rPr>
        <w:t>四、保密条款</w:t>
      </w:r>
      <w:bookmarkEnd w:id="257"/>
    </w:p>
    <w:p>
      <w:pPr>
        <w:spacing w:line="560" w:lineRule="exact"/>
        <w:ind w:firstLine="560" w:firstLineChars="200"/>
        <w:rPr>
          <w:rFonts w:hint="eastAsia" w:ascii="仿宋_GB2312"/>
          <w:bCs/>
          <w:sz w:val="28"/>
          <w:szCs w:val="28"/>
        </w:rPr>
      </w:pPr>
      <w:r>
        <w:rPr>
          <w:rFonts w:hint="eastAsia" w:ascii="仿宋_GB2312"/>
          <w:bCs/>
          <w:sz w:val="28"/>
          <w:szCs w:val="28"/>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pPr>
        <w:spacing w:line="560" w:lineRule="exact"/>
        <w:ind w:firstLine="560" w:firstLineChars="200"/>
        <w:rPr>
          <w:rFonts w:hint="eastAsia" w:ascii="仿宋_GB2312"/>
          <w:bCs/>
          <w:sz w:val="28"/>
          <w:szCs w:val="28"/>
        </w:rPr>
      </w:pPr>
      <w:r>
        <w:rPr>
          <w:rFonts w:hint="eastAsia" w:ascii="仿宋_GB2312"/>
          <w:bCs/>
          <w:sz w:val="28"/>
          <w:szCs w:val="28"/>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pPr>
        <w:spacing w:line="560" w:lineRule="exact"/>
        <w:ind w:firstLine="560" w:firstLineChars="200"/>
        <w:rPr>
          <w:rFonts w:hint="eastAsia" w:ascii="仿宋_GB2312"/>
          <w:bCs/>
          <w:sz w:val="28"/>
          <w:szCs w:val="28"/>
        </w:rPr>
      </w:pPr>
      <w:r>
        <w:rPr>
          <w:rFonts w:hint="eastAsia" w:ascii="仿宋_GB2312"/>
          <w:bCs/>
          <w:sz w:val="28"/>
          <w:szCs w:val="28"/>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信息除外。</w:t>
      </w:r>
    </w:p>
    <w:p>
      <w:pPr>
        <w:spacing w:line="560" w:lineRule="exact"/>
        <w:ind w:firstLine="560" w:firstLineChars="200"/>
        <w:rPr>
          <w:rFonts w:hint="eastAsia" w:ascii="仿宋_GB2312"/>
          <w:bCs/>
          <w:sz w:val="28"/>
          <w:szCs w:val="28"/>
        </w:rPr>
      </w:pPr>
      <w:r>
        <w:rPr>
          <w:rFonts w:hint="eastAsia" w:ascii="仿宋_GB2312"/>
          <w:bCs/>
          <w:sz w:val="28"/>
          <w:szCs w:val="28"/>
        </w:rPr>
        <w:t>（三）本采购项目及其合同订立履行保密信息，包括以手写、打印、软件、磁盘、光盘、胶片、图片、音视频或其他可读取方式记载的数据信息和文档资料，实行专人管理、专室专柜存放、定期审核销毁，不擅自复制留存。</w:t>
      </w:r>
    </w:p>
    <w:p>
      <w:pPr>
        <w:spacing w:line="560" w:lineRule="exact"/>
        <w:ind w:firstLine="560" w:firstLineChars="200"/>
        <w:rPr>
          <w:rFonts w:hint="eastAsia" w:ascii="仿宋_GB2312"/>
          <w:bCs/>
          <w:sz w:val="28"/>
          <w:szCs w:val="28"/>
        </w:rPr>
      </w:pPr>
      <w:r>
        <w:rPr>
          <w:rFonts w:hint="eastAsia" w:ascii="仿宋_GB2312"/>
          <w:bCs/>
          <w:sz w:val="28"/>
          <w:szCs w:val="28"/>
        </w:rPr>
        <w:t>（四）不在联接互联网计算机中存储、处理、传递，不通过普通电话、传真、快递等非保密渠道传递本采购项目及其合同订立履行保密信息。</w:t>
      </w:r>
    </w:p>
    <w:p>
      <w:pPr>
        <w:spacing w:line="560" w:lineRule="exact"/>
        <w:ind w:firstLine="560" w:firstLineChars="200"/>
        <w:rPr>
          <w:rFonts w:hint="eastAsia" w:ascii="仿宋_GB2312"/>
          <w:bCs/>
          <w:sz w:val="28"/>
          <w:szCs w:val="28"/>
        </w:rPr>
      </w:pPr>
      <w:r>
        <w:rPr>
          <w:rFonts w:hint="eastAsia" w:ascii="仿宋_GB2312"/>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pPr>
        <w:pStyle w:val="7"/>
        <w:numPr>
          <w:ilvl w:val="2"/>
          <w:numId w:val="0"/>
        </w:numPr>
        <w:tabs>
          <w:tab w:val="clear" w:pos="1820"/>
        </w:tabs>
        <w:spacing w:before="0" w:after="0" w:line="560" w:lineRule="exact"/>
        <w:ind w:leftChars="200"/>
        <w:jc w:val="center"/>
        <w:rPr>
          <w:rFonts w:hint="eastAsia" w:ascii="黑体" w:hAnsi="黑体" w:cs="黑体"/>
          <w:b w:val="0"/>
          <w:sz w:val="28"/>
          <w:szCs w:val="28"/>
        </w:rPr>
      </w:pPr>
      <w:bookmarkStart w:id="258" w:name="_Toc132190613"/>
      <w:r>
        <w:rPr>
          <w:rFonts w:hint="eastAsia" w:ascii="黑体" w:hAnsi="黑体" w:cs="黑体"/>
          <w:b w:val="0"/>
          <w:sz w:val="28"/>
          <w:szCs w:val="28"/>
        </w:rPr>
        <w:t>五、知识产权</w:t>
      </w:r>
      <w:bookmarkEnd w:id="258"/>
    </w:p>
    <w:p>
      <w:pPr>
        <w:spacing w:line="560" w:lineRule="exact"/>
        <w:ind w:firstLine="560" w:firstLineChars="200"/>
        <w:rPr>
          <w:rFonts w:hint="eastAsia" w:ascii="宋体" w:hAnsi="宋体"/>
          <w:bCs/>
          <w:sz w:val="28"/>
          <w:szCs w:val="28"/>
        </w:rPr>
      </w:pPr>
      <w:bookmarkStart w:id="259" w:name="_Toc19371"/>
      <w:bookmarkStart w:id="260" w:name="_Toc83738986"/>
      <w:bookmarkStart w:id="261" w:name="_Toc13927"/>
      <w:bookmarkStart w:id="262" w:name="_Toc32592"/>
      <w:bookmarkStart w:id="263" w:name="_Toc9733"/>
      <w:bookmarkStart w:id="264" w:name="_Toc29139"/>
      <w:bookmarkStart w:id="265" w:name="_Toc11458"/>
      <w:r>
        <w:rPr>
          <w:rFonts w:hint="eastAsia" w:ascii="宋体" w:hAnsi="宋体"/>
          <w:bCs/>
          <w:sz w:val="28"/>
          <w:szCs w:val="28"/>
        </w:rPr>
        <w:t>（一）乙方应当保证甲方在使用物资和服务时不受第三方提出侵犯其知识产权的指控，对此甲方不承担任何连带责任或赔偿责任。</w:t>
      </w:r>
    </w:p>
    <w:p>
      <w:pPr>
        <w:pStyle w:val="20"/>
        <w:spacing w:line="560" w:lineRule="exact"/>
        <w:ind w:firstLine="562" w:firstLineChars="200"/>
        <w:rPr>
          <w:rFonts w:hint="eastAsia" w:ascii="宋体" w:hAnsi="宋体"/>
        </w:rPr>
      </w:pPr>
      <w:r>
        <w:rPr>
          <w:rFonts w:hint="eastAsia" w:ascii="宋体" w:hAnsi="宋体"/>
          <w:b/>
          <w:sz w:val="28"/>
          <w:szCs w:val="28"/>
        </w:rPr>
        <w:t>（二）基于项目合同履行形成的知识产权和其他权益，其权属归甲方所有，法律另有规定的除外。</w:t>
      </w:r>
    </w:p>
    <w:p>
      <w:pPr>
        <w:pStyle w:val="7"/>
        <w:numPr>
          <w:ilvl w:val="2"/>
          <w:numId w:val="0"/>
        </w:numPr>
        <w:tabs>
          <w:tab w:val="clear" w:pos="1820"/>
        </w:tabs>
        <w:spacing w:before="0" w:after="0" w:line="560" w:lineRule="exact"/>
        <w:ind w:leftChars="200"/>
        <w:jc w:val="left"/>
        <w:rPr>
          <w:rFonts w:hint="eastAsia" w:ascii="黑体" w:hAnsi="黑体" w:cs="黑体"/>
          <w:b w:val="0"/>
          <w:sz w:val="28"/>
          <w:szCs w:val="28"/>
        </w:rPr>
      </w:pPr>
      <w:bookmarkStart w:id="266" w:name="_Toc132190614"/>
      <w:r>
        <w:rPr>
          <w:rFonts w:hint="eastAsia" w:ascii="黑体" w:hAnsi="黑体" w:cs="黑体"/>
          <w:b w:val="0"/>
          <w:sz w:val="28"/>
          <w:szCs w:val="28"/>
        </w:rPr>
        <w:t>六、合同的变更和解除</w:t>
      </w:r>
      <w:bookmarkEnd w:id="259"/>
      <w:bookmarkEnd w:id="260"/>
      <w:bookmarkEnd w:id="261"/>
      <w:bookmarkEnd w:id="262"/>
      <w:bookmarkEnd w:id="263"/>
      <w:bookmarkEnd w:id="264"/>
      <w:bookmarkEnd w:id="265"/>
      <w:bookmarkEnd w:id="266"/>
    </w:p>
    <w:p>
      <w:pPr>
        <w:spacing w:line="560" w:lineRule="exact"/>
        <w:ind w:firstLine="560" w:firstLineChars="200"/>
        <w:jc w:val="left"/>
        <w:rPr>
          <w:rFonts w:hint="eastAsia" w:ascii="仿宋_GB2312" w:hAnsi="宋体"/>
          <w:bCs/>
          <w:sz w:val="28"/>
          <w:szCs w:val="28"/>
        </w:rPr>
      </w:pPr>
      <w:r>
        <w:rPr>
          <w:rFonts w:hint="eastAsia" w:ascii="仿宋_GB2312" w:hAnsi="宋体"/>
          <w:bCs/>
          <w:sz w:val="28"/>
          <w:szCs w:val="28"/>
        </w:rPr>
        <w:t>（一）因合同变更、解除造成损失的，过错方应当承担赔偿责任，双方都有过错的，甲乙双方应当各自承担相应的责任。</w:t>
      </w:r>
    </w:p>
    <w:p>
      <w:pPr>
        <w:spacing w:line="560" w:lineRule="exact"/>
        <w:ind w:firstLine="560" w:firstLineChars="200"/>
        <w:jc w:val="left"/>
        <w:rPr>
          <w:rFonts w:hint="eastAsia" w:ascii="仿宋_GB2312" w:hAnsi="宋体"/>
          <w:bCs/>
          <w:sz w:val="28"/>
          <w:szCs w:val="28"/>
        </w:rPr>
      </w:pPr>
      <w:r>
        <w:rPr>
          <w:rFonts w:hint="eastAsia" w:ascii="仿宋_GB2312" w:hAnsi="宋体"/>
          <w:bCs/>
          <w:sz w:val="28"/>
          <w:szCs w:val="28"/>
        </w:rPr>
        <w:t>（二）合同履行中，经甲乙双方协商一致，并由甲方按照军队有关规定办理审批后，可以变更合同。</w:t>
      </w:r>
    </w:p>
    <w:p>
      <w:pPr>
        <w:spacing w:line="560" w:lineRule="exact"/>
        <w:ind w:firstLine="560" w:firstLineChars="200"/>
        <w:jc w:val="left"/>
        <w:rPr>
          <w:rFonts w:hint="eastAsia" w:ascii="仿宋_GB2312" w:hAnsi="宋体"/>
          <w:bCs/>
          <w:sz w:val="28"/>
          <w:szCs w:val="28"/>
        </w:rPr>
      </w:pPr>
      <w:r>
        <w:rPr>
          <w:rFonts w:hint="eastAsia" w:ascii="仿宋_GB2312" w:hAnsi="宋体"/>
          <w:bCs/>
          <w:sz w:val="28"/>
          <w:szCs w:val="28"/>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同主要义务；⑤乙方迟延履行合同主要义务，经催告后在限定合理整改期限内仍不履行；⑥乙方存在违规违约行为致使不能实现合同目的；⑦乙方</w:t>
      </w:r>
      <w:r>
        <w:rPr>
          <w:rFonts w:hint="eastAsia" w:ascii="仿宋_GB2312" w:hAnsi="宋体"/>
          <w:bCs/>
          <w:sz w:val="28"/>
          <w:szCs w:val="28"/>
          <w:lang w:val="zh-CN"/>
        </w:rPr>
        <w:t>发生控股关系、经营范围等重大实质性变化，不符合合同约定的；⑧</w:t>
      </w:r>
      <w:r>
        <w:rPr>
          <w:rFonts w:hint="eastAsia" w:ascii="仿宋_GB2312" w:hAnsi="宋体"/>
          <w:bCs/>
          <w:sz w:val="28"/>
          <w:szCs w:val="28"/>
        </w:rPr>
        <w:t>国家法律法规规定或合同约定的其他情形。</w:t>
      </w:r>
    </w:p>
    <w:p>
      <w:pPr>
        <w:spacing w:line="560" w:lineRule="exact"/>
        <w:ind w:firstLine="560" w:firstLineChars="200"/>
        <w:jc w:val="left"/>
        <w:rPr>
          <w:rFonts w:hint="eastAsia" w:ascii="仿宋_GB2312" w:hAnsi="宋体"/>
          <w:bCs/>
          <w:sz w:val="28"/>
          <w:szCs w:val="28"/>
        </w:rPr>
      </w:pPr>
      <w:r>
        <w:rPr>
          <w:rFonts w:hint="eastAsia" w:ascii="仿宋_GB2312" w:hAnsi="宋体"/>
          <w:bCs/>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存在质量瑕疵的，甲方有权要求乙方采取修理、重作、更换等补救措施，验收合格后，按照本项第①条办理支付结算；③合同已履行部分根据甲方要求经乙方补救后仍未达到合同约定要求的，甲方有权拒绝接收；④乙方对合同解除负有主要过错责任的，甲方有权拒绝接收合同已履行部分物资；⑤合同已履行部分，甲方按照本合同约定拒绝接收的，乙方应当按照法律要求恢复原状。</w:t>
      </w:r>
    </w:p>
    <w:p>
      <w:pPr>
        <w:pStyle w:val="7"/>
        <w:numPr>
          <w:ilvl w:val="2"/>
          <w:numId w:val="0"/>
        </w:numPr>
        <w:tabs>
          <w:tab w:val="clear" w:pos="1820"/>
        </w:tabs>
        <w:spacing w:before="0" w:after="0" w:line="560" w:lineRule="exact"/>
        <w:ind w:leftChars="200"/>
        <w:rPr>
          <w:rFonts w:hint="eastAsia" w:ascii="黑体" w:hAnsi="黑体" w:cs="黑体"/>
          <w:b w:val="0"/>
          <w:sz w:val="28"/>
          <w:szCs w:val="28"/>
        </w:rPr>
      </w:pPr>
      <w:bookmarkStart w:id="267" w:name="_Toc17906"/>
      <w:bookmarkStart w:id="268" w:name="_Toc376"/>
      <w:bookmarkStart w:id="269" w:name="_Toc83738987"/>
      <w:bookmarkStart w:id="270" w:name="_Toc2228"/>
      <w:bookmarkStart w:id="271" w:name="_Toc132190615"/>
      <w:bookmarkStart w:id="272" w:name="_Toc22397"/>
      <w:bookmarkStart w:id="273" w:name="_Toc13788"/>
      <w:bookmarkStart w:id="274" w:name="_Toc19429"/>
      <w:r>
        <w:rPr>
          <w:rFonts w:hint="eastAsia" w:ascii="黑体" w:hAnsi="黑体" w:cs="黑体"/>
          <w:b w:val="0"/>
          <w:sz w:val="28"/>
          <w:szCs w:val="28"/>
        </w:rPr>
        <w:t>七、履约监督</w:t>
      </w:r>
      <w:bookmarkEnd w:id="267"/>
      <w:bookmarkEnd w:id="268"/>
      <w:bookmarkEnd w:id="269"/>
      <w:bookmarkEnd w:id="270"/>
      <w:bookmarkEnd w:id="271"/>
      <w:bookmarkEnd w:id="272"/>
      <w:bookmarkEnd w:id="273"/>
      <w:bookmarkEnd w:id="274"/>
    </w:p>
    <w:p>
      <w:pPr>
        <w:spacing w:line="560" w:lineRule="exact"/>
        <w:ind w:firstLine="560" w:firstLineChars="200"/>
        <w:jc w:val="left"/>
        <w:rPr>
          <w:rFonts w:hint="eastAsia" w:ascii="仿宋_GB2312" w:hAnsi="宋体"/>
          <w:bCs/>
          <w:sz w:val="28"/>
          <w:szCs w:val="28"/>
        </w:rPr>
      </w:pPr>
      <w:r>
        <w:rPr>
          <w:rFonts w:hint="eastAsia" w:ascii="仿宋_GB2312" w:hAnsi="宋体"/>
          <w:bCs/>
          <w:sz w:val="28"/>
          <w:szCs w:val="28"/>
        </w:rPr>
        <w:t>（一）乙方承诺接受甲方对其资质和履约能力进行监管，并保证在其资质和履约能力发生变化时向甲方通报，乙方存在法律规定的丧失或可能丧失合同履行能力有关情形时，甲方有权中止合同：①经营状况严重恶化的；②转移财产、抽逃资金，以逃避债务的；③丧失商业信誉的；④有丧失或可能丧失履行合同能力的其他情形。</w:t>
      </w:r>
    </w:p>
    <w:p>
      <w:pPr>
        <w:spacing w:line="560" w:lineRule="exact"/>
        <w:ind w:firstLine="560" w:firstLineChars="200"/>
        <w:jc w:val="left"/>
        <w:rPr>
          <w:rFonts w:hint="eastAsia" w:ascii="仿宋_GB2312" w:hAnsi="宋体"/>
          <w:bCs/>
          <w:sz w:val="28"/>
          <w:szCs w:val="28"/>
        </w:rPr>
      </w:pPr>
      <w:r>
        <w:rPr>
          <w:rFonts w:hint="eastAsia" w:ascii="仿宋_GB2312" w:hAnsi="宋体"/>
          <w:bCs/>
          <w:sz w:val="28"/>
          <w:szCs w:val="28"/>
        </w:rPr>
        <w:t>（二）在不妨碍乙方正常生产、作业的情况下，甲方有关不定期对物资生产进度和过程质量管控情况进行监督检查，乙方承诺予以配合，如实反映情况，提供相关</w:t>
      </w:r>
      <w:r>
        <w:rPr>
          <w:rFonts w:hint="eastAsia" w:ascii="宋体" w:hAnsi="宋体"/>
          <w:bCs/>
          <w:sz w:val="28"/>
          <w:szCs w:val="28"/>
        </w:rPr>
        <w:t>材料</w:t>
      </w:r>
      <w:r>
        <w:rPr>
          <w:rFonts w:hint="eastAsia" w:ascii="仿宋_GB2312" w:hAnsi="宋体"/>
          <w:bCs/>
          <w:sz w:val="28"/>
          <w:szCs w:val="28"/>
        </w:rPr>
        <w:t>。</w:t>
      </w:r>
    </w:p>
    <w:p>
      <w:pPr>
        <w:spacing w:line="560" w:lineRule="exact"/>
        <w:ind w:firstLine="560" w:firstLineChars="200"/>
        <w:jc w:val="left"/>
        <w:rPr>
          <w:rFonts w:hint="eastAsia" w:ascii="仿宋_GB2312" w:hAnsi="宋体"/>
          <w:bCs/>
          <w:sz w:val="28"/>
          <w:szCs w:val="28"/>
        </w:rPr>
      </w:pPr>
      <w:r>
        <w:rPr>
          <w:rFonts w:hint="eastAsia" w:ascii="仿宋_GB2312" w:hAnsi="宋体"/>
          <w:bCs/>
          <w:sz w:val="28"/>
          <w:szCs w:val="28"/>
        </w:rPr>
        <w:t>（三）乙方对于军队采购管理部门、纪检监察部门、审计部门等职能部门开展的调查，承诺予以配合，如实反映情况，提供相关</w:t>
      </w:r>
      <w:r>
        <w:rPr>
          <w:rFonts w:hint="eastAsia" w:ascii="宋体" w:hAnsi="宋体"/>
          <w:bCs/>
          <w:sz w:val="28"/>
          <w:szCs w:val="28"/>
        </w:rPr>
        <w:t>材料</w:t>
      </w:r>
      <w:r>
        <w:rPr>
          <w:rFonts w:hint="eastAsia" w:ascii="仿宋_GB2312" w:hAnsi="宋体"/>
          <w:bCs/>
          <w:sz w:val="28"/>
          <w:szCs w:val="28"/>
        </w:rPr>
        <w:t>。</w:t>
      </w:r>
    </w:p>
    <w:p>
      <w:pPr>
        <w:spacing w:line="540" w:lineRule="exact"/>
        <w:ind w:firstLine="560" w:firstLineChars="200"/>
        <w:rPr>
          <w:rFonts w:hint="eastAsia" w:ascii="仿宋_GB2312" w:hAnsi="宋体"/>
          <w:bCs/>
          <w:sz w:val="28"/>
          <w:szCs w:val="28"/>
        </w:rPr>
      </w:pPr>
      <w:r>
        <w:rPr>
          <w:rFonts w:hint="eastAsia" w:ascii="仿宋_GB2312" w:hAnsi="宋体"/>
          <w:bCs/>
          <w:sz w:val="28"/>
          <w:szCs w:val="28"/>
        </w:rPr>
        <w:t>（四）乙方在合同订立、履行过程中，存在违法、违规、违约行为经查实的，承诺愿意无条件接受军队采购管理部门根据军队采购有关规定给予的书面警告、限制参加军队采购活动等处罚。</w:t>
      </w:r>
    </w:p>
    <w:p>
      <w:pPr>
        <w:pStyle w:val="7"/>
        <w:numPr>
          <w:ilvl w:val="2"/>
          <w:numId w:val="0"/>
        </w:numPr>
        <w:tabs>
          <w:tab w:val="clear" w:pos="1820"/>
        </w:tabs>
        <w:spacing w:before="0" w:after="0" w:line="560" w:lineRule="exact"/>
        <w:ind w:leftChars="200"/>
        <w:rPr>
          <w:rFonts w:hint="eastAsia" w:ascii="黑体" w:hAnsi="黑体" w:cs="黑体"/>
          <w:b w:val="0"/>
          <w:sz w:val="28"/>
          <w:szCs w:val="28"/>
        </w:rPr>
      </w:pPr>
      <w:bookmarkStart w:id="275" w:name="_Toc132190616"/>
      <w:r>
        <w:rPr>
          <w:rFonts w:hint="eastAsia" w:ascii="黑体" w:hAnsi="黑体" w:cs="黑体"/>
          <w:b w:val="0"/>
          <w:sz w:val="28"/>
          <w:szCs w:val="28"/>
        </w:rPr>
        <w:t>八、转包与分包</w:t>
      </w:r>
      <w:bookmarkEnd w:id="275"/>
    </w:p>
    <w:p>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pPr>
        <w:pStyle w:val="20"/>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（三）合同分包履行的，乙方应当与分包承担主体就分包项目向甲方承担连带责任。</w:t>
      </w:r>
    </w:p>
    <w:p>
      <w:pPr>
        <w:pStyle w:val="7"/>
        <w:numPr>
          <w:ilvl w:val="2"/>
          <w:numId w:val="0"/>
        </w:numPr>
        <w:tabs>
          <w:tab w:val="clear" w:pos="1820"/>
        </w:tabs>
        <w:spacing w:before="0" w:after="0" w:line="560" w:lineRule="exact"/>
        <w:ind w:leftChars="200"/>
        <w:rPr>
          <w:rFonts w:hint="eastAsia" w:ascii="Times New Roman" w:hAnsi="Times New Roman" w:eastAsia="黑体"/>
          <w:b w:val="0"/>
        </w:rPr>
      </w:pPr>
      <w:bookmarkStart w:id="276" w:name="_Toc30656"/>
      <w:bookmarkStart w:id="277" w:name="_Toc1573"/>
      <w:bookmarkStart w:id="278" w:name="_Toc31717"/>
      <w:bookmarkStart w:id="279" w:name="_Toc25769"/>
      <w:bookmarkStart w:id="280" w:name="_Toc16941"/>
      <w:bookmarkStart w:id="281" w:name="_Toc132190617"/>
      <w:bookmarkStart w:id="282" w:name="_Toc32282"/>
      <w:bookmarkStart w:id="283" w:name="_Toc83738988"/>
      <w:r>
        <w:rPr>
          <w:rFonts w:hint="eastAsia"/>
          <w:b w:val="0"/>
        </w:rPr>
        <w:t>九、违约责任</w:t>
      </w:r>
      <w:bookmarkEnd w:id="276"/>
      <w:bookmarkEnd w:id="277"/>
      <w:bookmarkEnd w:id="278"/>
      <w:bookmarkEnd w:id="279"/>
      <w:bookmarkEnd w:id="280"/>
      <w:bookmarkEnd w:id="281"/>
      <w:bookmarkEnd w:id="282"/>
      <w:bookmarkEnd w:id="283"/>
    </w:p>
    <w:p>
      <w:pPr>
        <w:spacing w:line="560" w:lineRule="exact"/>
        <w:ind w:firstLine="560" w:firstLineChars="200"/>
        <w:rPr>
          <w:rFonts w:ascii="宋体" w:hAnsi="宋体"/>
          <w:bCs/>
          <w:sz w:val="28"/>
          <w:szCs w:val="28"/>
        </w:rPr>
      </w:pPr>
      <w:r>
        <w:rPr>
          <w:rFonts w:hint="eastAsia" w:ascii="宋体" w:hAnsi="宋体"/>
          <w:bCs/>
          <w:sz w:val="28"/>
          <w:szCs w:val="28"/>
        </w:rPr>
        <w:t>（一）乙方未经甲方同意而延期交货时，应当向甲方偿付违约金，违约金每天按违约物资金额的1‰计算，违约金最高限额为违约总金额的5%。如果达到违约金最高限额时仍不能交货，或交货时间影响甲方任务实施，甲方可以终止合同，而由此给甲方造成的实际损失，乙方应当给予足额赔偿。</w:t>
      </w:r>
    </w:p>
    <w:p>
      <w:pPr>
        <w:spacing w:line="560" w:lineRule="exact"/>
        <w:ind w:firstLine="560" w:firstLineChars="200"/>
        <w:rPr>
          <w:rFonts w:hint="eastAsia" w:ascii="仿宋_GB2312" w:hAnsi="宋体"/>
          <w:bCs/>
          <w:sz w:val="28"/>
          <w:szCs w:val="28"/>
        </w:rPr>
      </w:pPr>
      <w:r>
        <w:rPr>
          <w:rFonts w:hint="eastAsia" w:ascii="仿宋_GB2312" w:hAnsi="宋体"/>
          <w:bCs/>
          <w:sz w:val="28"/>
          <w:szCs w:val="28"/>
        </w:rPr>
        <w:t>（二）乙方未按合同约定履行服务义务或产品技术性能指标不达标而给甲方或产品使用单位造成损失的，乙方要按损失金额予以赔偿。</w:t>
      </w:r>
    </w:p>
    <w:p>
      <w:pPr>
        <w:spacing w:line="560" w:lineRule="exact"/>
        <w:ind w:firstLine="560" w:firstLineChars="200"/>
        <w:rPr>
          <w:rFonts w:hint="eastAsia" w:ascii="宋体" w:hAnsi="宋体"/>
          <w:bCs/>
          <w:sz w:val="28"/>
          <w:szCs w:val="28"/>
        </w:rPr>
      </w:pPr>
      <w:r>
        <w:rPr>
          <w:rFonts w:hint="eastAsia" w:ascii="宋体" w:hAnsi="宋体"/>
          <w:bCs/>
          <w:sz w:val="28"/>
          <w:szCs w:val="28"/>
        </w:rPr>
        <w:t>（三）甲方需按约定及时足额支付货款，未按约定及时足额支付货款时，每迟付一天按违约金额1‰向乙方偿付违约金，违约金最高限额为违约总金额的5%。</w:t>
      </w:r>
    </w:p>
    <w:p>
      <w:pPr>
        <w:pStyle w:val="7"/>
        <w:numPr>
          <w:ilvl w:val="2"/>
          <w:numId w:val="0"/>
        </w:numPr>
        <w:tabs>
          <w:tab w:val="clear" w:pos="1820"/>
        </w:tabs>
        <w:spacing w:before="0" w:after="0" w:line="560" w:lineRule="exact"/>
        <w:ind w:leftChars="200"/>
        <w:rPr>
          <w:rFonts w:hint="eastAsia" w:ascii="黑体" w:hAnsi="黑体" w:cs="黑体"/>
          <w:b w:val="0"/>
          <w:sz w:val="28"/>
          <w:szCs w:val="28"/>
        </w:rPr>
      </w:pPr>
      <w:bookmarkStart w:id="284" w:name="_Toc7908"/>
      <w:bookmarkStart w:id="285" w:name="_Toc22345"/>
      <w:bookmarkStart w:id="286" w:name="_Toc83738989"/>
      <w:bookmarkStart w:id="287" w:name="_Toc25283"/>
      <w:bookmarkStart w:id="288" w:name="_Toc4921"/>
      <w:bookmarkStart w:id="289" w:name="_Toc10383"/>
      <w:bookmarkStart w:id="290" w:name="_Toc132190618"/>
      <w:bookmarkStart w:id="291" w:name="_Toc15949"/>
      <w:r>
        <w:rPr>
          <w:rFonts w:hint="eastAsia" w:ascii="黑体" w:hAnsi="黑体" w:cs="黑体"/>
          <w:b w:val="0"/>
          <w:sz w:val="28"/>
          <w:szCs w:val="28"/>
        </w:rPr>
        <w:t>十、争议解决方式</w:t>
      </w:r>
      <w:bookmarkEnd w:id="284"/>
      <w:bookmarkEnd w:id="285"/>
      <w:bookmarkEnd w:id="286"/>
      <w:bookmarkEnd w:id="287"/>
      <w:bookmarkEnd w:id="288"/>
      <w:bookmarkEnd w:id="289"/>
      <w:bookmarkEnd w:id="290"/>
      <w:bookmarkEnd w:id="291"/>
    </w:p>
    <w:p>
      <w:pPr>
        <w:spacing w:line="540" w:lineRule="exact"/>
        <w:ind w:firstLine="560" w:firstLineChars="200"/>
        <w:rPr>
          <w:rFonts w:hint="eastAsia" w:ascii="仿宋_GB2312" w:hAnsi="宋体"/>
          <w:bCs/>
          <w:sz w:val="28"/>
          <w:szCs w:val="28"/>
        </w:rPr>
      </w:pPr>
      <w:r>
        <w:rPr>
          <w:rFonts w:hint="eastAsia" w:ascii="仿宋_GB2312" w:hAnsi="宋体"/>
          <w:bCs/>
          <w:sz w:val="28"/>
          <w:szCs w:val="28"/>
        </w:rPr>
        <w:t>合同履行过程中，发生争议时，按照下列方式解决：</w:t>
      </w:r>
    </w:p>
    <w:p>
      <w:pPr>
        <w:spacing w:line="540" w:lineRule="exact"/>
        <w:ind w:firstLine="560" w:firstLineChars="200"/>
        <w:rPr>
          <w:rFonts w:hint="eastAsia" w:ascii="仿宋_GB2312" w:hAnsi="宋体"/>
          <w:bCs/>
          <w:sz w:val="28"/>
          <w:szCs w:val="28"/>
        </w:rPr>
      </w:pPr>
      <w:r>
        <w:rPr>
          <w:rFonts w:hint="eastAsia" w:ascii="仿宋_GB2312" w:hAnsi="宋体"/>
          <w:bCs/>
          <w:sz w:val="28"/>
          <w:szCs w:val="28"/>
        </w:rPr>
        <w:t>（一）甲方和乙方协商解决。</w:t>
      </w:r>
    </w:p>
    <w:p>
      <w:pPr>
        <w:spacing w:line="540" w:lineRule="exact"/>
        <w:ind w:firstLine="560" w:firstLineChars="200"/>
        <w:rPr>
          <w:rFonts w:hint="eastAsia" w:ascii="仿宋_GB2312" w:hAnsi="宋体"/>
          <w:bCs/>
          <w:sz w:val="28"/>
          <w:szCs w:val="28"/>
        </w:rPr>
      </w:pPr>
      <w:r>
        <w:rPr>
          <w:rFonts w:hint="eastAsia" w:ascii="仿宋_GB2312" w:hAnsi="宋体"/>
          <w:bCs/>
          <w:sz w:val="28"/>
          <w:szCs w:val="28"/>
        </w:rPr>
        <w:t>（二）协商不一致的，甲方或乙方向采购机构负责合同履约的部门反映情况，请求第一次调解处理；第一次调解不成功的，</w:t>
      </w:r>
      <w:r>
        <w:rPr>
          <w:rFonts w:hint="eastAsia" w:asciiTheme="minorEastAsia" w:hAnsiTheme="minorEastAsia" w:eastAsiaTheme="minorEastAsia"/>
          <w:bCs/>
          <w:sz w:val="28"/>
          <w:szCs w:val="28"/>
        </w:rPr>
        <w:t>向军级单位采购管理部门或同等权限的采购管理部门请求第</w:t>
      </w:r>
      <w:r>
        <w:rPr>
          <w:rFonts w:hint="eastAsia" w:ascii="仿宋_GB2312" w:hAnsi="宋体"/>
          <w:bCs/>
          <w:sz w:val="28"/>
          <w:szCs w:val="28"/>
        </w:rPr>
        <w:t>二次调解处理。</w:t>
      </w:r>
    </w:p>
    <w:p>
      <w:pPr>
        <w:spacing w:line="540" w:lineRule="exact"/>
        <w:ind w:firstLine="560" w:firstLineChars="200"/>
        <w:rPr>
          <w:rFonts w:hint="eastAsia"/>
          <w:sz w:val="21"/>
        </w:rPr>
      </w:pPr>
      <w:r>
        <w:rPr>
          <w:rFonts w:hint="eastAsia" w:ascii="仿宋_GB2312" w:hAnsi="宋体"/>
          <w:bCs/>
          <w:sz w:val="28"/>
          <w:szCs w:val="28"/>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pPr>
        <w:widowControl/>
        <w:jc w:val="left"/>
        <w:rPr>
          <w:bCs/>
          <w:sz w:val="44"/>
          <w:szCs w:val="44"/>
        </w:rPr>
        <w:sectPr>
          <w:pgSz w:w="11906" w:h="16838"/>
          <w:pgMar w:top="1418" w:right="1134" w:bottom="1418" w:left="1418" w:header="851" w:footer="851" w:gutter="0"/>
          <w:cols w:space="720" w:num="1"/>
        </w:sectPr>
      </w:pPr>
      <w:r>
        <w:rPr>
          <w:bCs/>
          <w:sz w:val="44"/>
          <w:szCs w:val="44"/>
        </w:rPr>
        <w:br w:type="page"/>
      </w:r>
    </w:p>
    <w:p>
      <w:pPr>
        <w:pStyle w:val="6"/>
        <w:keepNext w:val="0"/>
        <w:keepLines w:val="0"/>
        <w:adjustRightInd w:val="0"/>
        <w:snapToGrid w:val="0"/>
        <w:spacing w:line="560" w:lineRule="exact"/>
        <w:jc w:val="center"/>
        <w:rPr>
          <w:b w:val="0"/>
          <w:szCs w:val="44"/>
          <w:lang w:val="zh-CN"/>
        </w:rPr>
      </w:pPr>
      <w:bookmarkStart w:id="292" w:name="_Toc30778"/>
      <w:bookmarkStart w:id="293" w:name="_Toc132190619"/>
      <w:bookmarkStart w:id="294" w:name="_Toc10691"/>
      <w:bookmarkStart w:id="295" w:name="_Toc112317784"/>
      <w:bookmarkStart w:id="296" w:name="_Toc31933"/>
      <w:bookmarkStart w:id="297" w:name="_Toc1061"/>
      <w:r>
        <w:rPr>
          <w:rFonts w:hint="eastAsia"/>
          <w:b w:val="0"/>
          <w:szCs w:val="44"/>
          <w:lang w:val="zh-CN"/>
        </w:rPr>
        <w:t>第三章</w:t>
      </w:r>
      <w:r>
        <w:rPr>
          <w:b w:val="0"/>
          <w:szCs w:val="44"/>
          <w:lang w:val="zh-CN"/>
        </w:rPr>
        <w:t xml:space="preserve"> </w:t>
      </w:r>
      <w:bookmarkStart w:id="298" w:name="_Hlk112353117"/>
      <w:r>
        <w:rPr>
          <w:rFonts w:hint="eastAsia"/>
          <w:b w:val="0"/>
          <w:szCs w:val="44"/>
          <w:lang w:val="zh-CN"/>
        </w:rPr>
        <w:t>投标文件内容及格式</w:t>
      </w:r>
      <w:bookmarkEnd w:id="292"/>
      <w:bookmarkEnd w:id="293"/>
      <w:bookmarkEnd w:id="294"/>
      <w:bookmarkEnd w:id="295"/>
      <w:bookmarkEnd w:id="296"/>
      <w:bookmarkEnd w:id="297"/>
      <w:bookmarkEnd w:id="298"/>
    </w:p>
    <w:p>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pPr>
        <w:spacing w:line="560" w:lineRule="exact"/>
        <w:ind w:firstLine="560" w:firstLineChars="200"/>
        <w:rPr>
          <w:bCs/>
          <w:i/>
          <w:iCs/>
          <w:sz w:val="28"/>
          <w:szCs w:val="28"/>
        </w:rPr>
      </w:pPr>
      <w:r>
        <w:rPr>
          <w:rFonts w:hint="eastAsia"/>
          <w:bCs/>
          <w:i/>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pPr>
        <w:pStyle w:val="20"/>
      </w:pPr>
    </w:p>
    <w:p>
      <w:pPr>
        <w:widowControl/>
        <w:ind w:firstLine="480" w:firstLineChars="200"/>
        <w:jc w:val="left"/>
        <w:rPr>
          <w:rFonts w:ascii="宋体" w:hAnsi="宋体"/>
          <w:bCs/>
        </w:rPr>
      </w:pPr>
      <w:r>
        <w:rPr>
          <w:rFonts w:hint="eastAsia" w:ascii="宋体" w:hAnsi="宋体"/>
          <w:bCs/>
        </w:rPr>
        <w:br w:type="page"/>
      </w:r>
    </w:p>
    <w:p>
      <w:pPr>
        <w:spacing w:before="600" w:beforeLines="250" w:after="960" w:afterLines="400" w:line="360" w:lineRule="auto"/>
        <w:jc w:val="center"/>
        <w:rPr>
          <w:rFonts w:hint="eastAsia" w:ascii="方正小标宋简体" w:eastAsia="方正小标宋简体"/>
          <w:bCs/>
          <w:sz w:val="48"/>
          <w:szCs w:val="48"/>
        </w:rPr>
      </w:pPr>
    </w:p>
    <w:p>
      <w:pPr>
        <w:spacing w:before="600" w:beforeLines="250" w:line="480" w:lineRule="auto"/>
        <w:jc w:val="center"/>
        <w:rPr>
          <w:rFonts w:hint="eastAsia" w:ascii="方正小标宋简体" w:eastAsia="方正小标宋简体"/>
          <w:bCs/>
          <w:sz w:val="44"/>
          <w:szCs w:val="44"/>
        </w:rPr>
      </w:pPr>
      <w:r>
        <w:rPr>
          <w:rFonts w:hint="eastAsia" w:ascii="方正小标宋简体" w:eastAsia="方正小标宋简体"/>
          <w:bCs/>
          <w:sz w:val="48"/>
          <w:szCs w:val="48"/>
        </w:rPr>
        <w:t>军队物资类项目公开招标</w:t>
      </w:r>
    </w:p>
    <w:p>
      <w:pPr>
        <w:spacing w:after="480" w:afterLines="200"/>
        <w:jc w:val="center"/>
        <w:rPr>
          <w:rFonts w:hint="eastAsia" w:ascii="方正小标宋简体" w:eastAsia="方正小标宋简体"/>
          <w:bCs/>
          <w:sz w:val="21"/>
        </w:rPr>
      </w:pPr>
      <w:r>
        <w:rPr>
          <w:rFonts w:hint="eastAsia" w:ascii="方正小标宋简体" w:eastAsia="方正小标宋简体"/>
          <w:bCs/>
          <w:sz w:val="84"/>
          <w:szCs w:val="84"/>
        </w:rPr>
        <w:t>投 标 文 件</w:t>
      </w:r>
    </w:p>
    <w:p>
      <w:pPr>
        <w:pStyle w:val="7"/>
        <w:numPr>
          <w:ilvl w:val="2"/>
          <w:numId w:val="0"/>
        </w:numPr>
        <w:tabs>
          <w:tab w:val="clear" w:pos="1820"/>
        </w:tabs>
        <w:ind w:leftChars="0" w:firstLine="2600" w:firstLineChars="500"/>
        <w:jc w:val="both"/>
        <w:rPr>
          <w:rFonts w:hint="eastAsia" w:ascii="方正小标宋简体" w:eastAsia="方正小标宋简体"/>
          <w:b w:val="0"/>
          <w:sz w:val="52"/>
          <w:szCs w:val="52"/>
        </w:rPr>
      </w:pPr>
      <w:bookmarkStart w:id="299" w:name="_Toc81213694"/>
      <w:bookmarkStart w:id="300" w:name="_Toc8608"/>
      <w:bookmarkStart w:id="301" w:name="_Toc132190620"/>
      <w:bookmarkStart w:id="302" w:name="_Toc31021"/>
      <w:bookmarkStart w:id="303" w:name="_Toc3800"/>
      <w:bookmarkStart w:id="304" w:name="_Toc18151"/>
      <w:r>
        <w:rPr>
          <w:rFonts w:hint="eastAsia" w:ascii="方正小标宋简体" w:eastAsia="方正小标宋简体"/>
          <w:b w:val="0"/>
          <w:sz w:val="52"/>
          <w:szCs w:val="52"/>
        </w:rPr>
        <w:t>一、</w:t>
      </w:r>
      <w:bookmarkEnd w:id="299"/>
      <w:r>
        <w:rPr>
          <w:rFonts w:hint="eastAsia" w:ascii="方正小标宋简体" w:eastAsia="方正小标宋简体"/>
          <w:b w:val="0"/>
          <w:sz w:val="52"/>
          <w:szCs w:val="52"/>
        </w:rPr>
        <w:t>价格文件</w:t>
      </w:r>
      <w:bookmarkEnd w:id="300"/>
      <w:bookmarkEnd w:id="301"/>
      <w:bookmarkEnd w:id="302"/>
      <w:bookmarkEnd w:id="303"/>
      <w:bookmarkEnd w:id="304"/>
    </w:p>
    <w:p>
      <w:pPr>
        <w:adjustRightInd w:val="0"/>
        <w:snapToGrid w:val="0"/>
        <w:spacing w:line="360" w:lineRule="auto"/>
        <w:rPr>
          <w:rFonts w:hint="eastAsia" w:ascii="方正小标宋简体" w:hAnsi="黑体" w:eastAsia="方正小标宋简体"/>
          <w:bCs/>
          <w:sz w:val="32"/>
          <w:szCs w:val="32"/>
        </w:rPr>
      </w:pP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包    号：</w:t>
      </w:r>
      <w:r>
        <w:rPr>
          <w:rFonts w:hint="eastAsia" w:ascii="方正小标宋简体" w:eastAsia="方正小标宋简体"/>
          <w:bCs/>
          <w:sz w:val="36"/>
          <w:szCs w:val="36"/>
          <w:u w:val="single"/>
        </w:rPr>
        <w:t xml:space="preserve">                </w:t>
      </w:r>
    </w:p>
    <w:p>
      <w:pPr>
        <w:jc w:val="center"/>
        <w:rPr>
          <w:rFonts w:hint="eastAsia" w:ascii="方正小标宋简体" w:eastAsia="方正小标宋简体"/>
          <w:bCs/>
          <w:sz w:val="36"/>
          <w:szCs w:val="36"/>
        </w:rPr>
      </w:pPr>
    </w:p>
    <w:p>
      <w:pPr>
        <w:jc w:val="center"/>
        <w:rPr>
          <w:rFonts w:hint="eastAsia" w:ascii="方正小标宋简体" w:eastAsia="方正小标宋简体"/>
          <w:bCs/>
          <w:sz w:val="36"/>
          <w:szCs w:val="36"/>
        </w:rPr>
      </w:pPr>
    </w:p>
    <w:p>
      <w:pPr>
        <w:ind w:firstLine="720" w:firstLineChars="200"/>
        <w:jc w:val="center"/>
        <w:rPr>
          <w:rFonts w:hint="eastAsia"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720" w:firstLineChars="200"/>
        <w:jc w:val="center"/>
        <w:rPr>
          <w:rFonts w:hint="eastAsia" w:ascii="方正小标宋简体" w:hAnsi="宋体" w:eastAsia="方正小标宋简体"/>
          <w:bCs/>
          <w:sz w:val="21"/>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564" w:firstLineChars="235"/>
        <w:jc w:val="left"/>
        <w:rPr>
          <w:rFonts w:hint="eastAsia" w:ascii="宋体" w:hAnsi="宋体"/>
          <w:bCs/>
        </w:rPr>
      </w:pPr>
    </w:p>
    <w:p>
      <w:pPr>
        <w:spacing w:line="400" w:lineRule="exact"/>
        <w:ind w:firstLine="564" w:firstLineChars="235"/>
        <w:jc w:val="left"/>
        <w:rPr>
          <w:rFonts w:hint="eastAsia" w:ascii="宋体" w:hAnsi="宋体"/>
          <w:bCs/>
        </w:rPr>
      </w:pPr>
    </w:p>
    <w:p>
      <w:pPr>
        <w:widowControl/>
        <w:jc w:val="left"/>
        <w:rPr>
          <w:rFonts w:ascii="宋体" w:hAnsi="宋体"/>
          <w:bCs/>
        </w:rPr>
        <w:sectPr>
          <w:pgSz w:w="11906" w:h="16838"/>
          <w:pgMar w:top="1418" w:right="1134" w:bottom="1418" w:left="1418" w:header="851" w:footer="851" w:gutter="0"/>
          <w:cols w:space="720" w:num="1"/>
        </w:sectPr>
      </w:pPr>
    </w:p>
    <w:p>
      <w:pPr>
        <w:pStyle w:val="8"/>
        <w:spacing w:before="120" w:beforeLines="50" w:after="120" w:afterLines="50"/>
        <w:rPr>
          <w:rFonts w:hint="eastAsia"/>
          <w:b w:val="0"/>
        </w:rPr>
      </w:pPr>
      <w:bookmarkStart w:id="305" w:name="_Toc8444"/>
      <w:bookmarkStart w:id="306" w:name="_Toc12492"/>
      <w:bookmarkStart w:id="307" w:name="_Toc1873"/>
      <w:bookmarkStart w:id="308" w:name="_Toc13727"/>
      <w:r>
        <w:rPr>
          <w:rFonts w:hint="eastAsia"/>
          <w:b w:val="0"/>
        </w:rPr>
        <w:t>附件</w:t>
      </w:r>
      <w:r>
        <w:rPr>
          <w:b w:val="0"/>
        </w:rPr>
        <w:t xml:space="preserve">1-1-1 </w:t>
      </w:r>
      <w:r>
        <w:rPr>
          <w:rFonts w:hint="eastAsia"/>
          <w:b w:val="0"/>
        </w:rPr>
        <w:t>开标一览表</w:t>
      </w:r>
      <w:bookmarkEnd w:id="305"/>
      <w:bookmarkEnd w:id="306"/>
      <w:bookmarkEnd w:id="307"/>
      <w:bookmarkEnd w:id="308"/>
    </w:p>
    <w:p>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pPr>
        <w:rPr>
          <w:rFonts w:hint="eastAsia"/>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5"/>
        <w:tblW w:w="14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62"/>
        <w:gridCol w:w="1342"/>
        <w:gridCol w:w="1620"/>
        <w:gridCol w:w="1232"/>
        <w:gridCol w:w="1112"/>
        <w:gridCol w:w="1245"/>
        <w:gridCol w:w="1179"/>
        <w:gridCol w:w="985"/>
        <w:gridCol w:w="1382"/>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序号</w:t>
            </w:r>
          </w:p>
        </w:tc>
        <w:tc>
          <w:tcPr>
            <w:tcW w:w="1960"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品牌</w:t>
            </w:r>
          </w:p>
        </w:tc>
        <w:tc>
          <w:tcPr>
            <w:tcW w:w="1619"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计量</w:t>
            </w:r>
          </w:p>
          <w:p>
            <w:pPr>
              <w:jc w:val="center"/>
              <w:rPr>
                <w:bCs/>
              </w:rPr>
            </w:pPr>
            <w:r>
              <w:rPr>
                <w:rFonts w:hint="eastAsia"/>
                <w:bCs/>
              </w:rPr>
              <w:t>单位</w:t>
            </w:r>
          </w:p>
        </w:tc>
        <w:tc>
          <w:tcPr>
            <w:tcW w:w="1112"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数量</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单价</w:t>
            </w:r>
          </w:p>
          <w:p>
            <w:pPr>
              <w:jc w:val="center"/>
              <w:rPr>
                <w:bCs/>
              </w:rPr>
            </w:pPr>
            <w:r>
              <w:rPr>
                <w:rFonts w:hint="eastAsia"/>
                <w:bCs/>
              </w:rPr>
              <w:t>（含税）</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金额</w:t>
            </w:r>
          </w:p>
          <w:p>
            <w:pPr>
              <w:jc w:val="center"/>
              <w:rPr>
                <w:bCs/>
                <w:spacing w:val="-4"/>
              </w:rPr>
            </w:pPr>
            <w:r>
              <w:rPr>
                <w:rFonts w:hint="eastAsia"/>
                <w:bCs/>
              </w:rPr>
              <w:t>（含税）</w:t>
            </w:r>
          </w:p>
        </w:tc>
        <w:tc>
          <w:tcPr>
            <w:tcW w:w="985"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交货</w:t>
            </w:r>
          </w:p>
          <w:p>
            <w:pPr>
              <w:jc w:val="center"/>
              <w:rPr>
                <w:bCs/>
              </w:rPr>
            </w:pPr>
            <w:r>
              <w:rPr>
                <w:rFonts w:hint="eastAsia"/>
                <w:bCs/>
              </w:rPr>
              <w:t>时间</w:t>
            </w:r>
          </w:p>
        </w:tc>
        <w:tc>
          <w:tcPr>
            <w:tcW w:w="1382"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交货地点</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bCs/>
              </w:rPr>
            </w:pPr>
          </w:p>
        </w:tc>
        <w:tc>
          <w:tcPr>
            <w:tcW w:w="1960" w:type="dxa"/>
            <w:tcBorders>
              <w:top w:val="single" w:color="auto" w:sz="4" w:space="0"/>
              <w:left w:val="single" w:color="auto" w:sz="4" w:space="0"/>
              <w:bottom w:val="single" w:color="auto" w:sz="4" w:space="0"/>
              <w:right w:val="single" w:color="auto" w:sz="4" w:space="0"/>
            </w:tcBorders>
            <w:vAlign w:val="center"/>
          </w:tcPr>
          <w:p>
            <w:pPr>
              <w:rPr>
                <w:bCs/>
              </w:rPr>
            </w:pPr>
          </w:p>
        </w:tc>
        <w:tc>
          <w:tcPr>
            <w:tcW w:w="1341" w:type="dxa"/>
            <w:tcBorders>
              <w:top w:val="single" w:color="auto" w:sz="4" w:space="0"/>
              <w:left w:val="single" w:color="auto" w:sz="4" w:space="0"/>
              <w:bottom w:val="single" w:color="auto" w:sz="4" w:space="0"/>
              <w:right w:val="single" w:color="auto" w:sz="4" w:space="0"/>
            </w:tcBorders>
            <w:vAlign w:val="center"/>
          </w:tcPr>
          <w:p>
            <w:pPr>
              <w:rPr>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rPr>
            </w:pPr>
          </w:p>
        </w:tc>
        <w:tc>
          <w:tcPr>
            <w:tcW w:w="196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rPr>
            </w:pPr>
            <w:r>
              <w:rPr>
                <w:rFonts w:hint="eastAsia" w:ascii="宋体" w:hAnsi="宋体" w:cs="宋体"/>
                <w:bCs/>
                <w:spacing w:val="-4"/>
              </w:rPr>
              <w:t>合  计</w:t>
            </w:r>
          </w:p>
        </w:tc>
        <w:tc>
          <w:tcPr>
            <w:tcW w:w="134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6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2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11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98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c>
          <w:tcPr>
            <w:tcW w:w="127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rPr>
            </w:pPr>
            <w:r>
              <w:rPr>
                <w:rFonts w:hint="eastAsia" w:ascii="宋体" w:hAnsi="宋体" w:cs="宋体"/>
                <w:bCs/>
                <w:spacing w:val="-4"/>
              </w:rPr>
              <w:t>投标总价（人民币大写）：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pPr>
              <w:spacing w:before="120" w:beforeLines="50"/>
              <w:rPr>
                <w:rFonts w:hint="eastAsia" w:ascii="宋体" w:hAnsi="宋体" w:cs="宋体"/>
                <w:b/>
                <w:bCs/>
                <w:sz w:val="28"/>
                <w:szCs w:val="28"/>
              </w:rPr>
            </w:pPr>
            <w:r>
              <w:rPr>
                <w:rFonts w:hint="eastAsia" w:ascii="宋体" w:hAnsi="宋体" w:cs="宋体"/>
                <w:bCs/>
                <w:spacing w:val="-4"/>
              </w:rPr>
              <w:t>说明：金额=单价×数量，投标总价=金额之和。</w:t>
            </w:r>
          </w:p>
        </w:tc>
      </w:tr>
    </w:tbl>
    <w:p>
      <w:pPr>
        <w:ind w:firstLine="560" w:firstLineChars="200"/>
        <w:rPr>
          <w:rFonts w:hint="eastAsia" w:ascii="宋体" w:hAnsi="宋体" w:cs="宋体"/>
          <w:bCs/>
          <w:kern w:val="2"/>
          <w:sz w:val="28"/>
          <w:szCs w:val="28"/>
        </w:rPr>
      </w:pPr>
    </w:p>
    <w:p>
      <w:pPr>
        <w:rPr>
          <w:rFonts w:hint="eastAsia"/>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pPr>
        <w:rPr>
          <w:bCs/>
          <w:sz w:val="32"/>
          <w:szCs w:val="32"/>
        </w:rPr>
      </w:pPr>
    </w:p>
    <w:p>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20"/>
      </w:pPr>
    </w:p>
    <w:p/>
    <w:p>
      <w:pPr>
        <w:pStyle w:val="20"/>
      </w:pPr>
    </w:p>
    <w:p/>
    <w:p>
      <w:pPr>
        <w:pStyle w:val="8"/>
        <w:spacing w:before="120" w:beforeLines="50" w:after="120" w:afterLines="50"/>
        <w:rPr>
          <w:b w:val="0"/>
        </w:rPr>
      </w:pPr>
      <w:bookmarkStart w:id="309" w:name="_Toc13502"/>
      <w:bookmarkStart w:id="310" w:name="_Toc16009"/>
      <w:bookmarkStart w:id="311" w:name="_Toc8637"/>
      <w:bookmarkStart w:id="312" w:name="_Toc29536"/>
      <w:r>
        <w:rPr>
          <w:rFonts w:hint="eastAsia"/>
          <w:b w:val="0"/>
        </w:rPr>
        <w:t>附件</w:t>
      </w:r>
      <w:r>
        <w:rPr>
          <w:b w:val="0"/>
        </w:rPr>
        <w:t xml:space="preserve">1-2 </w:t>
      </w:r>
      <w:r>
        <w:rPr>
          <w:rFonts w:hint="eastAsia"/>
          <w:b w:val="0"/>
        </w:rPr>
        <w:t>价格构成表</w:t>
      </w:r>
      <w:bookmarkEnd w:id="309"/>
      <w:bookmarkEnd w:id="310"/>
      <w:bookmarkEnd w:id="311"/>
      <w:bookmarkEnd w:id="312"/>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pPr>
        <w:rPr>
          <w:rFonts w:hint="eastAsia"/>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5"/>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物资</w:t>
            </w:r>
          </w:p>
          <w:p>
            <w:pPr>
              <w:jc w:val="center"/>
              <w:rPr>
                <w:bCs/>
              </w:rPr>
            </w:pPr>
            <w:r>
              <w:rPr>
                <w:rFonts w:hint="eastAsia"/>
                <w:bCs/>
              </w:rPr>
              <w:t>名称</w:t>
            </w:r>
          </w:p>
        </w:tc>
        <w:tc>
          <w:tcPr>
            <w:tcW w:w="359" w:type="pct"/>
            <w:vMerge w:val="restar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规格</w:t>
            </w:r>
          </w:p>
          <w:p>
            <w:pPr>
              <w:jc w:val="center"/>
              <w:rPr>
                <w:bCs/>
              </w:rPr>
            </w:pPr>
            <w:r>
              <w:rPr>
                <w:rFonts w:hint="eastAsia"/>
                <w:bCs/>
              </w:rPr>
              <w:t>型号</w:t>
            </w:r>
          </w:p>
        </w:tc>
        <w:tc>
          <w:tcPr>
            <w:tcW w:w="290" w:type="pct"/>
            <w:vMerge w:val="restar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计量</w:t>
            </w:r>
          </w:p>
          <w:p>
            <w:pPr>
              <w:jc w:val="center"/>
              <w:rPr>
                <w:bCs/>
              </w:rPr>
            </w:pPr>
            <w:r>
              <w:rPr>
                <w:rFonts w:hint="eastAsia"/>
                <w:bCs/>
              </w:rPr>
              <w:t>单位</w:t>
            </w:r>
          </w:p>
        </w:tc>
        <w:tc>
          <w:tcPr>
            <w:tcW w:w="290" w:type="pct"/>
            <w:vMerge w:val="restar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数量</w:t>
            </w:r>
          </w:p>
        </w:tc>
        <w:tc>
          <w:tcPr>
            <w:tcW w:w="253" w:type="pct"/>
            <w:vMerge w:val="restar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总价</w:t>
            </w:r>
          </w:p>
        </w:tc>
        <w:tc>
          <w:tcPr>
            <w:tcW w:w="3456" w:type="pct"/>
            <w:gridSpan w:val="13"/>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价</w:t>
            </w:r>
            <w:r>
              <w:rPr>
                <w:bCs/>
              </w:rPr>
              <w:t xml:space="preserve">  </w:t>
            </w:r>
            <w:r>
              <w:rPr>
                <w:rFonts w:hint="eastAsia"/>
                <w:bCs/>
              </w:rPr>
              <w:t>格</w:t>
            </w:r>
            <w:r>
              <w:rPr>
                <w:bCs/>
              </w:rPr>
              <w:t xml:space="preserve">  </w:t>
            </w:r>
            <w:r>
              <w:rPr>
                <w:rFonts w:hint="eastAsia"/>
                <w:bCs/>
              </w:rPr>
              <w:t>组</w:t>
            </w:r>
            <w:r>
              <w:rPr>
                <w:bCs/>
              </w:rPr>
              <w:t xml:space="preserve">  </w:t>
            </w:r>
            <w:r>
              <w:rPr>
                <w:rFonts w:hint="eastAsia"/>
                <w:bCs/>
              </w:rPr>
              <w:t>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单价</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直接材料费</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外购成件费</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燃料及动力费</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直接人工费</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废品损失费</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管理费用</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利润</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税金</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备件工具费</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安装调试费</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技术服务费</w:t>
            </w:r>
          </w:p>
        </w:tc>
        <w:tc>
          <w:tcPr>
            <w:tcW w:w="213"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运杂费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w:t>
            </w:r>
          </w:p>
        </w:tc>
        <w:tc>
          <w:tcPr>
            <w:tcW w:w="359"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2</w:t>
            </w:r>
          </w:p>
        </w:tc>
        <w:tc>
          <w:tcPr>
            <w:tcW w:w="290"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3</w:t>
            </w:r>
          </w:p>
        </w:tc>
        <w:tc>
          <w:tcPr>
            <w:tcW w:w="290"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4</w:t>
            </w:r>
          </w:p>
        </w:tc>
        <w:tc>
          <w:tcPr>
            <w:tcW w:w="25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6</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7</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8</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9</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10</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12</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13</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14</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15</w:t>
            </w:r>
          </w:p>
        </w:tc>
        <w:tc>
          <w:tcPr>
            <w:tcW w:w="299"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16</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17</w:t>
            </w:r>
          </w:p>
        </w:tc>
        <w:tc>
          <w:tcPr>
            <w:tcW w:w="21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tcBorders>
              <w:top w:val="single" w:color="auto" w:sz="4" w:space="0"/>
              <w:left w:val="single" w:color="auto" w:sz="4" w:space="0"/>
              <w:bottom w:val="single" w:color="auto" w:sz="4" w:space="0"/>
              <w:right w:val="single" w:color="auto" w:sz="4" w:space="0"/>
            </w:tcBorders>
            <w:vAlign w:val="center"/>
          </w:tcPr>
          <w:p>
            <w:pPr>
              <w:rPr>
                <w:bCs/>
              </w:rPr>
            </w:pPr>
          </w:p>
        </w:tc>
        <w:tc>
          <w:tcPr>
            <w:tcW w:w="359" w:type="pct"/>
            <w:tcBorders>
              <w:top w:val="single" w:color="auto" w:sz="4" w:space="0"/>
              <w:left w:val="single" w:color="auto" w:sz="4" w:space="0"/>
              <w:bottom w:val="single" w:color="auto" w:sz="4" w:space="0"/>
              <w:right w:val="single" w:color="auto" w:sz="4" w:space="0"/>
            </w:tcBorders>
            <w:vAlign w:val="center"/>
          </w:tcPr>
          <w:p>
            <w:pPr>
              <w:rPr>
                <w:bCs/>
              </w:rPr>
            </w:pPr>
          </w:p>
        </w:tc>
        <w:tc>
          <w:tcPr>
            <w:tcW w:w="290" w:type="pct"/>
            <w:tcBorders>
              <w:top w:val="single" w:color="auto" w:sz="4" w:space="0"/>
              <w:left w:val="single" w:color="auto" w:sz="4" w:space="0"/>
              <w:bottom w:val="single" w:color="auto" w:sz="4" w:space="0"/>
              <w:right w:val="single" w:color="auto" w:sz="4" w:space="0"/>
            </w:tcBorders>
            <w:vAlign w:val="center"/>
          </w:tcPr>
          <w:p>
            <w:pPr>
              <w:rPr>
                <w:bCs/>
              </w:rPr>
            </w:pPr>
          </w:p>
        </w:tc>
        <w:tc>
          <w:tcPr>
            <w:tcW w:w="290" w:type="pct"/>
            <w:tcBorders>
              <w:top w:val="single" w:color="auto" w:sz="4" w:space="0"/>
              <w:left w:val="single" w:color="auto" w:sz="4" w:space="0"/>
              <w:bottom w:val="single" w:color="auto" w:sz="4" w:space="0"/>
              <w:right w:val="single" w:color="auto" w:sz="4" w:space="0"/>
            </w:tcBorders>
            <w:vAlign w:val="center"/>
          </w:tcPr>
          <w:p>
            <w:pPr>
              <w:rPr>
                <w:bCs/>
              </w:rPr>
            </w:pPr>
          </w:p>
        </w:tc>
        <w:tc>
          <w:tcPr>
            <w:tcW w:w="253"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13" w:type="pct"/>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tcBorders>
              <w:top w:val="single" w:color="auto" w:sz="4" w:space="0"/>
              <w:left w:val="single" w:color="auto" w:sz="4" w:space="0"/>
              <w:bottom w:val="single" w:color="auto" w:sz="4" w:space="0"/>
              <w:right w:val="single" w:color="auto" w:sz="4" w:space="0"/>
            </w:tcBorders>
            <w:vAlign w:val="center"/>
          </w:tcPr>
          <w:p>
            <w:pPr>
              <w:rPr>
                <w:bCs/>
              </w:rPr>
            </w:pPr>
          </w:p>
        </w:tc>
        <w:tc>
          <w:tcPr>
            <w:tcW w:w="359" w:type="pct"/>
            <w:tcBorders>
              <w:top w:val="single" w:color="auto" w:sz="4" w:space="0"/>
              <w:left w:val="single" w:color="auto" w:sz="4" w:space="0"/>
              <w:bottom w:val="single" w:color="auto" w:sz="4" w:space="0"/>
              <w:right w:val="single" w:color="auto" w:sz="4" w:space="0"/>
            </w:tcBorders>
            <w:vAlign w:val="center"/>
          </w:tcPr>
          <w:p>
            <w:pPr>
              <w:rPr>
                <w:bCs/>
              </w:rPr>
            </w:pPr>
          </w:p>
        </w:tc>
        <w:tc>
          <w:tcPr>
            <w:tcW w:w="290" w:type="pct"/>
            <w:tcBorders>
              <w:top w:val="single" w:color="auto" w:sz="4" w:space="0"/>
              <w:left w:val="single" w:color="auto" w:sz="4" w:space="0"/>
              <w:bottom w:val="single" w:color="auto" w:sz="4" w:space="0"/>
              <w:right w:val="single" w:color="auto" w:sz="4" w:space="0"/>
            </w:tcBorders>
            <w:vAlign w:val="center"/>
          </w:tcPr>
          <w:p>
            <w:pPr>
              <w:rPr>
                <w:bCs/>
              </w:rPr>
            </w:pPr>
          </w:p>
        </w:tc>
        <w:tc>
          <w:tcPr>
            <w:tcW w:w="290" w:type="pct"/>
            <w:tcBorders>
              <w:top w:val="single" w:color="auto" w:sz="4" w:space="0"/>
              <w:left w:val="single" w:color="auto" w:sz="4" w:space="0"/>
              <w:bottom w:val="single" w:color="auto" w:sz="4" w:space="0"/>
              <w:right w:val="single" w:color="auto" w:sz="4" w:space="0"/>
            </w:tcBorders>
            <w:vAlign w:val="center"/>
          </w:tcPr>
          <w:p>
            <w:pPr>
              <w:rPr>
                <w:bCs/>
              </w:rPr>
            </w:pPr>
          </w:p>
        </w:tc>
        <w:tc>
          <w:tcPr>
            <w:tcW w:w="253"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13" w:type="pct"/>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tcBorders>
              <w:top w:val="single" w:color="auto" w:sz="4" w:space="0"/>
              <w:left w:val="single" w:color="auto" w:sz="4" w:space="0"/>
              <w:bottom w:val="single" w:color="auto" w:sz="4" w:space="0"/>
              <w:right w:val="single" w:color="auto" w:sz="4" w:space="0"/>
            </w:tcBorders>
            <w:vAlign w:val="center"/>
          </w:tcPr>
          <w:p>
            <w:pPr>
              <w:rPr>
                <w:bCs/>
              </w:rPr>
            </w:pPr>
          </w:p>
        </w:tc>
        <w:tc>
          <w:tcPr>
            <w:tcW w:w="359" w:type="pct"/>
            <w:tcBorders>
              <w:top w:val="single" w:color="auto" w:sz="4" w:space="0"/>
              <w:left w:val="single" w:color="auto" w:sz="4" w:space="0"/>
              <w:bottom w:val="single" w:color="auto" w:sz="4" w:space="0"/>
              <w:right w:val="single" w:color="auto" w:sz="4" w:space="0"/>
            </w:tcBorders>
            <w:vAlign w:val="center"/>
          </w:tcPr>
          <w:p>
            <w:pPr>
              <w:rPr>
                <w:bCs/>
              </w:rPr>
            </w:pPr>
          </w:p>
        </w:tc>
        <w:tc>
          <w:tcPr>
            <w:tcW w:w="290" w:type="pct"/>
            <w:tcBorders>
              <w:top w:val="single" w:color="auto" w:sz="4" w:space="0"/>
              <w:left w:val="single" w:color="auto" w:sz="4" w:space="0"/>
              <w:bottom w:val="single" w:color="auto" w:sz="4" w:space="0"/>
              <w:right w:val="single" w:color="auto" w:sz="4" w:space="0"/>
            </w:tcBorders>
            <w:vAlign w:val="center"/>
          </w:tcPr>
          <w:p>
            <w:pPr>
              <w:rPr>
                <w:bCs/>
              </w:rPr>
            </w:pPr>
          </w:p>
        </w:tc>
        <w:tc>
          <w:tcPr>
            <w:tcW w:w="290" w:type="pct"/>
            <w:tcBorders>
              <w:top w:val="single" w:color="auto" w:sz="4" w:space="0"/>
              <w:left w:val="single" w:color="auto" w:sz="4" w:space="0"/>
              <w:bottom w:val="single" w:color="auto" w:sz="4" w:space="0"/>
              <w:right w:val="single" w:color="auto" w:sz="4" w:space="0"/>
            </w:tcBorders>
            <w:vAlign w:val="center"/>
          </w:tcPr>
          <w:p>
            <w:pPr>
              <w:rPr>
                <w:bCs/>
              </w:rPr>
            </w:pPr>
          </w:p>
        </w:tc>
        <w:tc>
          <w:tcPr>
            <w:tcW w:w="253"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99" w:type="pct"/>
            <w:tcBorders>
              <w:top w:val="single" w:color="auto" w:sz="4" w:space="0"/>
              <w:left w:val="single" w:color="auto" w:sz="4" w:space="0"/>
              <w:bottom w:val="single" w:color="auto" w:sz="4" w:space="0"/>
              <w:right w:val="single" w:color="auto" w:sz="4" w:space="0"/>
            </w:tcBorders>
            <w:vAlign w:val="center"/>
          </w:tcPr>
          <w:p>
            <w:pPr>
              <w:rPr>
                <w:bCs/>
              </w:rPr>
            </w:pPr>
          </w:p>
        </w:tc>
        <w:tc>
          <w:tcPr>
            <w:tcW w:w="256" w:type="pct"/>
            <w:tcBorders>
              <w:top w:val="single" w:color="auto" w:sz="4" w:space="0"/>
              <w:left w:val="single" w:color="auto" w:sz="4" w:space="0"/>
              <w:bottom w:val="single" w:color="auto" w:sz="4" w:space="0"/>
              <w:right w:val="single" w:color="auto" w:sz="4" w:space="0"/>
            </w:tcBorders>
            <w:vAlign w:val="center"/>
          </w:tcPr>
          <w:p>
            <w:pPr>
              <w:rPr>
                <w:bCs/>
              </w:rPr>
            </w:pPr>
          </w:p>
        </w:tc>
        <w:tc>
          <w:tcPr>
            <w:tcW w:w="213" w:type="pct"/>
            <w:tcBorders>
              <w:top w:val="single" w:color="auto" w:sz="4" w:space="0"/>
              <w:left w:val="single" w:color="auto" w:sz="4" w:space="0"/>
              <w:bottom w:val="single" w:color="auto" w:sz="4" w:space="0"/>
              <w:right w:val="single" w:color="auto" w:sz="4"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tcBorders>
              <w:top w:val="single" w:color="auto" w:sz="4" w:space="0"/>
              <w:left w:val="single" w:color="auto" w:sz="4" w:space="0"/>
              <w:bottom w:val="single" w:color="auto" w:sz="4" w:space="0"/>
              <w:right w:val="single" w:color="auto" w:sz="4" w:space="0"/>
            </w:tcBorders>
            <w:vAlign w:val="center"/>
          </w:tcPr>
          <w:p>
            <w:pPr>
              <w:rPr>
                <w:bCs/>
              </w:rPr>
            </w:pPr>
            <w:r>
              <w:rPr>
                <w:rFonts w:hint="eastAsia"/>
                <w:bCs/>
              </w:rPr>
              <w:t>物资总金额（大写人民币）：</w:t>
            </w:r>
            <w:r>
              <w:rPr>
                <w:bCs/>
              </w:rPr>
              <w:t xml:space="preserve">                                                </w:t>
            </w:r>
            <w:r>
              <w:rPr>
                <w:rFonts w:hint="eastAsia"/>
                <w:bCs/>
              </w:rPr>
              <w:t>（小写）</w:t>
            </w:r>
            <w:r>
              <w:rPr>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cs="宋体"/>
                <w:bCs/>
                <w:spacing w:val="-4"/>
              </w:rPr>
            </w:pPr>
            <w:r>
              <w:rPr>
                <w:rFonts w:hint="eastAsia" w:ascii="宋体" w:hAnsi="宋体" w:cs="宋体"/>
                <w:bCs/>
                <w:spacing w:val="-4"/>
              </w:rPr>
              <w:t>说明：1.项5=项6×项4</w:t>
            </w:r>
          </w:p>
          <w:p>
            <w:pPr>
              <w:spacing w:line="276" w:lineRule="auto"/>
              <w:rPr>
                <w:rFonts w:hint="eastAsia"/>
                <w:bCs/>
                <w:sz w:val="28"/>
                <w:szCs w:val="28"/>
              </w:rPr>
            </w:pPr>
            <w:r>
              <w:rPr>
                <w:rFonts w:hint="eastAsia" w:ascii="宋体" w:hAnsi="宋体" w:cs="宋体"/>
                <w:bCs/>
                <w:spacing w:val="-4"/>
              </w:rPr>
              <w:t xml:space="preserve">     2.项6=项7+项8+项9+项10+项11+项12+项13+项14+项15+项16+项17+项18</w:t>
            </w:r>
          </w:p>
        </w:tc>
      </w:tr>
    </w:tbl>
    <w:p>
      <w:pPr>
        <w:spacing w:line="560" w:lineRule="exact"/>
        <w:rPr>
          <w:bCs/>
          <w:kern w:val="2"/>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pPr>
        <w:ind w:firstLine="560" w:firstLineChars="200"/>
        <w:rPr>
          <w:bCs/>
          <w:sz w:val="28"/>
          <w:szCs w:val="28"/>
        </w:rPr>
      </w:pPr>
    </w:p>
    <w:p>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jc w:val="left"/>
        <w:rPr>
          <w:bCs/>
          <w:sz w:val="28"/>
          <w:szCs w:val="28"/>
        </w:rPr>
        <w:sectPr>
          <w:pgSz w:w="16838" w:h="11906" w:orient="landscape"/>
          <w:pgMar w:top="1418" w:right="1134" w:bottom="1418" w:left="1418" w:header="851" w:footer="851" w:gutter="0"/>
          <w:cols w:space="720" w:num="1"/>
        </w:sectPr>
      </w:pPr>
    </w:p>
    <w:p>
      <w:pPr>
        <w:pStyle w:val="8"/>
        <w:spacing w:before="120" w:beforeLines="50" w:after="120" w:afterLines="50"/>
        <w:rPr>
          <w:b w:val="0"/>
        </w:rPr>
      </w:pPr>
      <w:bookmarkStart w:id="313" w:name="_Toc31442"/>
      <w:bookmarkStart w:id="314" w:name="_Toc14107"/>
      <w:bookmarkStart w:id="315" w:name="_Toc24431"/>
      <w:bookmarkStart w:id="316" w:name="_Toc10747"/>
      <w:r>
        <w:rPr>
          <w:rFonts w:hint="eastAsia"/>
          <w:b w:val="0"/>
        </w:rPr>
        <w:t>附件</w:t>
      </w:r>
      <w:r>
        <w:rPr>
          <w:b w:val="0"/>
        </w:rPr>
        <w:t xml:space="preserve">1-3 </w:t>
      </w:r>
      <w:r>
        <w:rPr>
          <w:rFonts w:hint="eastAsia"/>
          <w:b w:val="0"/>
        </w:rPr>
        <w:t>其他与价格有关的材料、文件</w:t>
      </w:r>
      <w:bookmarkEnd w:id="313"/>
      <w:bookmarkEnd w:id="314"/>
      <w:bookmarkEnd w:id="315"/>
      <w:bookmarkEnd w:id="316"/>
    </w:p>
    <w:p>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pPr>
        <w:rPr>
          <w:bCs/>
          <w:sz w:val="28"/>
          <w:szCs w:val="28"/>
          <w:lang w:val="zh-CN"/>
        </w:rPr>
      </w:pPr>
    </w:p>
    <w:p>
      <w:pPr>
        <w:pStyle w:val="20"/>
        <w:rPr>
          <w:bCs/>
          <w:sz w:val="28"/>
          <w:szCs w:val="28"/>
          <w:lang w:val="zh-CN"/>
        </w:rPr>
      </w:pPr>
    </w:p>
    <w:p>
      <w:pPr>
        <w:rPr>
          <w:bCs/>
          <w:sz w:val="28"/>
          <w:szCs w:val="28"/>
          <w:lang w:val="zh-CN"/>
        </w:rPr>
      </w:pPr>
    </w:p>
    <w:p>
      <w:pPr>
        <w:ind w:firstLine="560" w:firstLineChars="200"/>
        <w:jc w:val="left"/>
        <w:rPr>
          <w:bCs/>
          <w:sz w:val="28"/>
          <w:szCs w:val="28"/>
        </w:rPr>
      </w:pPr>
      <w:r>
        <w:rPr>
          <w:bCs/>
          <w:sz w:val="28"/>
          <w:szCs w:val="28"/>
        </w:rP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hint="eastAsia" w:ascii="方正小标宋简体" w:eastAsia="方正小标宋简体"/>
          <w:bCs/>
          <w:sz w:val="44"/>
          <w:szCs w:val="44"/>
        </w:rPr>
      </w:pPr>
      <w:r>
        <w:rPr>
          <w:rFonts w:hint="eastAsia" w:ascii="方正小标宋简体" w:eastAsia="方正小标宋简体"/>
          <w:bCs/>
          <w:sz w:val="48"/>
          <w:szCs w:val="48"/>
        </w:rPr>
        <w:t>军队物资类项目公开招标</w:t>
      </w:r>
    </w:p>
    <w:p>
      <w:pPr>
        <w:spacing w:after="480" w:afterLines="200"/>
        <w:jc w:val="center"/>
        <w:rPr>
          <w:rFonts w:hint="eastAsia" w:ascii="方正小标宋简体" w:eastAsia="方正小标宋简体"/>
          <w:bCs/>
          <w:sz w:val="21"/>
        </w:rPr>
      </w:pPr>
      <w:r>
        <w:rPr>
          <w:rFonts w:hint="eastAsia" w:ascii="方正小标宋简体" w:eastAsia="方正小标宋简体"/>
          <w:bCs/>
          <w:sz w:val="84"/>
          <w:szCs w:val="84"/>
        </w:rPr>
        <w:t>投 标 文 件</w:t>
      </w:r>
    </w:p>
    <w:p>
      <w:pPr>
        <w:pStyle w:val="7"/>
        <w:numPr>
          <w:ilvl w:val="2"/>
          <w:numId w:val="0"/>
        </w:numPr>
        <w:tabs>
          <w:tab w:val="clear" w:pos="1820"/>
        </w:tabs>
        <w:ind w:firstLine="2600" w:firstLineChars="500"/>
        <w:jc w:val="both"/>
        <w:rPr>
          <w:rFonts w:hint="eastAsia" w:ascii="方正小标宋简体" w:eastAsia="方正小标宋简体"/>
          <w:b w:val="0"/>
          <w:sz w:val="52"/>
          <w:szCs w:val="52"/>
        </w:rPr>
      </w:pPr>
      <w:bookmarkStart w:id="317" w:name="_Toc132190621"/>
      <w:r>
        <w:rPr>
          <w:rFonts w:hint="eastAsia" w:ascii="方正小标宋简体" w:eastAsia="方正小标宋简体"/>
          <w:b w:val="0"/>
          <w:sz w:val="52"/>
          <w:szCs w:val="52"/>
        </w:rPr>
        <w:t>二、商务技术文件</w:t>
      </w:r>
      <w:bookmarkEnd w:id="317"/>
    </w:p>
    <w:p>
      <w:pPr>
        <w:adjustRightInd w:val="0"/>
        <w:snapToGrid w:val="0"/>
        <w:spacing w:line="360" w:lineRule="auto"/>
        <w:rPr>
          <w:rFonts w:hint="eastAsia" w:ascii="方正小标宋简体" w:hAnsi="黑体" w:eastAsia="方正小标宋简体"/>
          <w:bCs/>
          <w:sz w:val="32"/>
          <w:szCs w:val="32"/>
        </w:rPr>
      </w:pP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包    号：</w:t>
      </w:r>
      <w:r>
        <w:rPr>
          <w:rFonts w:hint="eastAsia" w:ascii="方正小标宋简体" w:eastAsia="方正小标宋简体"/>
          <w:bCs/>
          <w:sz w:val="36"/>
          <w:szCs w:val="36"/>
          <w:u w:val="single"/>
        </w:rPr>
        <w:t xml:space="preserve">                </w:t>
      </w:r>
    </w:p>
    <w:p>
      <w:pPr>
        <w:jc w:val="center"/>
        <w:rPr>
          <w:rFonts w:hint="eastAsia" w:ascii="方正小标宋简体" w:eastAsia="方正小标宋简体"/>
          <w:bCs/>
          <w:sz w:val="36"/>
          <w:szCs w:val="36"/>
        </w:rPr>
      </w:pPr>
    </w:p>
    <w:p>
      <w:pPr>
        <w:jc w:val="center"/>
        <w:rPr>
          <w:rFonts w:hint="eastAsia" w:ascii="方正小标宋简体" w:eastAsia="方正小标宋简体"/>
          <w:bCs/>
          <w:sz w:val="36"/>
          <w:szCs w:val="36"/>
        </w:rPr>
      </w:pPr>
    </w:p>
    <w:p>
      <w:pPr>
        <w:ind w:firstLine="720" w:firstLineChars="200"/>
        <w:jc w:val="center"/>
        <w:rPr>
          <w:rFonts w:hint="eastAsia"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720" w:firstLineChars="200"/>
        <w:jc w:val="center"/>
        <w:rPr>
          <w:rFonts w:hint="eastAsia" w:ascii="方正小标宋简体" w:hAnsi="宋体" w:eastAsia="方正小标宋简体"/>
          <w:bCs/>
          <w:sz w:val="21"/>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564" w:firstLineChars="235"/>
        <w:jc w:val="left"/>
        <w:rPr>
          <w:rFonts w:hint="eastAsia" w:ascii="宋体" w:hAnsi="宋体"/>
          <w:bCs/>
        </w:rPr>
      </w:pPr>
    </w:p>
    <w:p>
      <w:pPr>
        <w:spacing w:line="400" w:lineRule="exact"/>
        <w:ind w:firstLine="564" w:firstLineChars="235"/>
        <w:jc w:val="left"/>
        <w:rPr>
          <w:rFonts w:hint="eastAsia" w:ascii="宋体" w:hAnsi="宋体"/>
          <w:bCs/>
        </w:rPr>
      </w:pPr>
    </w:p>
    <w:p>
      <w:pPr>
        <w:widowControl/>
        <w:jc w:val="left"/>
        <w:rPr>
          <w:rFonts w:ascii="Arial" w:hAnsi="Arial" w:eastAsia="黑体"/>
          <w:bCs/>
          <w:sz w:val="28"/>
          <w:szCs w:val="28"/>
        </w:rPr>
        <w:sectPr>
          <w:pgSz w:w="11906" w:h="16838"/>
          <w:pgMar w:top="1418" w:right="1134" w:bottom="1418" w:left="1418" w:header="851" w:footer="851" w:gutter="0"/>
          <w:cols w:space="720" w:num="1"/>
        </w:sectPr>
      </w:pPr>
    </w:p>
    <w:p>
      <w:pPr>
        <w:pStyle w:val="8"/>
        <w:spacing w:before="120" w:beforeLines="50" w:after="120" w:afterLines="50"/>
        <w:rPr>
          <w:rFonts w:hint="eastAsia"/>
          <w:b w:val="0"/>
          <w:lang w:val="zh-CN"/>
        </w:rPr>
      </w:pPr>
      <w:bookmarkStart w:id="318" w:name="_Toc24480"/>
      <w:bookmarkStart w:id="319" w:name="_Toc9050"/>
      <w:bookmarkStart w:id="320" w:name="_Toc32100"/>
      <w:bookmarkStart w:id="321" w:name="_Toc32372"/>
      <w:r>
        <w:rPr>
          <w:rFonts w:hint="eastAsia"/>
          <w:b w:val="0"/>
        </w:rPr>
        <w:t>附件</w:t>
      </w:r>
      <w:r>
        <w:rPr>
          <w:b w:val="0"/>
        </w:rPr>
        <w:t>2-1</w:t>
      </w:r>
      <w:r>
        <w:rPr>
          <w:rFonts w:hint="eastAsia"/>
          <w:b w:val="0"/>
        </w:rPr>
        <w:t>符合性审查索引表</w:t>
      </w:r>
      <w:bookmarkEnd w:id="318"/>
      <w:bookmarkEnd w:id="319"/>
      <w:bookmarkEnd w:id="320"/>
      <w:bookmarkEnd w:id="32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hint="eastAsia"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5676"/>
        <w:gridCol w:w="2735"/>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549" w:hRule="atLeast"/>
          <w:jc w:val="center"/>
        </w:trPr>
        <w:tc>
          <w:tcPr>
            <w:tcW w:w="501"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序号</w:t>
            </w:r>
          </w:p>
        </w:tc>
        <w:tc>
          <w:tcPr>
            <w:tcW w:w="303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r>
              <w:rPr>
                <w:rFonts w:hint="eastAsia"/>
                <w:bCs/>
              </w:rPr>
              <w:t>符合性审查项目</w:t>
            </w:r>
          </w:p>
        </w:tc>
        <w:tc>
          <w:tcPr>
            <w:tcW w:w="1463" w:type="pct"/>
            <w:vMerge w:val="restar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文件名称</w:t>
            </w:r>
            <w:r>
              <w:rPr>
                <w:rFonts w:hint="eastAsia" w:ascii="宋体" w:hAnsi="宋体"/>
                <w:bCs/>
              </w:rPr>
              <w:t>∕</w:t>
            </w:r>
            <w:r>
              <w:rPr>
                <w:rFonts w:hint="eastAsia"/>
                <w:bCs/>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tcBorders>
              <w:top w:val="outset" w:color="auto" w:sz="6" w:space="0"/>
              <w:left w:val="outset" w:color="auto" w:sz="6" w:space="0"/>
              <w:bottom w:val="outset" w:color="auto" w:sz="6" w:space="0"/>
              <w:right w:val="outset" w:color="auto" w:sz="6" w:space="0"/>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kern w:val="2"/>
              </w:rPr>
            </w:pPr>
            <w:r>
              <w:rPr>
                <w:rFonts w:hint="eastAsia" w:ascii="宋体" w:hAnsi="宋体"/>
                <w:bCs/>
              </w:rPr>
              <w:t>1</w:t>
            </w: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2</w:t>
            </w: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3</w:t>
            </w: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 xml:space="preserve">4   </w:t>
            </w: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w:t>
            </w: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3036"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463"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0" w:type="auto"/>
            <w:vAlign w:val="center"/>
          </w:tcPr>
          <w:p>
            <w:pPr>
              <w:widowControl/>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pacing w:line="276" w:lineRule="auto"/>
              <w:rPr>
                <w:bCs/>
              </w:rPr>
            </w:pPr>
            <w:r>
              <w:rPr>
                <w:rFonts w:hint="eastAsia"/>
                <w:bCs/>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c>
          <w:tcPr>
            <w:tcW w:w="0" w:type="auto"/>
            <w:vAlign w:val="center"/>
          </w:tcPr>
          <w:p>
            <w:pPr>
              <w:widowControl/>
              <w:jc w:val="left"/>
              <w:rPr>
                <w:sz w:val="20"/>
                <w:szCs w:val="20"/>
              </w:rPr>
            </w:pPr>
          </w:p>
        </w:tc>
      </w:tr>
    </w:tbl>
    <w:p>
      <w:pPr>
        <w:rPr>
          <w:bCs/>
          <w:kern w:val="2"/>
          <w:sz w:val="28"/>
          <w:szCs w:val="28"/>
          <w:lang w:val="zh-CN"/>
        </w:rPr>
      </w:pPr>
    </w:p>
    <w:p>
      <w:pPr>
        <w:rPr>
          <w:rFonts w:eastAsia="黑体"/>
          <w:bCs/>
          <w:sz w:val="28"/>
          <w:szCs w:val="28"/>
        </w:rPr>
      </w:pPr>
    </w:p>
    <w:p>
      <w:pPr>
        <w:rPr>
          <w:rFonts w:eastAsia="黑体"/>
          <w:bCs/>
          <w:sz w:val="28"/>
          <w:szCs w:val="28"/>
        </w:rPr>
      </w:pPr>
    </w:p>
    <w:p>
      <w:pPr>
        <w:widowControl/>
        <w:ind w:firstLine="560" w:firstLineChars="200"/>
        <w:jc w:val="left"/>
        <w:rPr>
          <w:rFonts w:eastAsia="黑体"/>
          <w:bCs/>
          <w:sz w:val="28"/>
          <w:szCs w:val="28"/>
        </w:rPr>
      </w:pPr>
      <w:r>
        <w:rPr>
          <w:rFonts w:eastAsia="黑体"/>
          <w:bCs/>
          <w:sz w:val="28"/>
          <w:szCs w:val="28"/>
        </w:rPr>
        <w:br w:type="page"/>
      </w:r>
    </w:p>
    <w:p>
      <w:pPr>
        <w:pStyle w:val="8"/>
        <w:spacing w:before="120" w:beforeLines="50" w:after="120" w:afterLines="50"/>
        <w:rPr>
          <w:b w:val="0"/>
          <w:lang w:val="zh-CN"/>
        </w:rPr>
      </w:pPr>
      <w:bookmarkStart w:id="322" w:name="_Toc11693"/>
      <w:bookmarkStart w:id="323" w:name="_Toc7297"/>
      <w:bookmarkStart w:id="324" w:name="_Toc22628"/>
      <w:bookmarkStart w:id="325" w:name="_Toc4926"/>
      <w:r>
        <w:rPr>
          <w:rFonts w:hint="eastAsia"/>
          <w:b w:val="0"/>
        </w:rPr>
        <w:t>附件</w:t>
      </w:r>
      <w:r>
        <w:rPr>
          <w:b w:val="0"/>
        </w:rPr>
        <w:t xml:space="preserve">2-2 </w:t>
      </w:r>
      <w:r>
        <w:rPr>
          <w:rFonts w:hint="eastAsia"/>
          <w:b w:val="0"/>
        </w:rPr>
        <w:t>商务评审索引表</w:t>
      </w:r>
      <w:bookmarkEnd w:id="322"/>
      <w:bookmarkEnd w:id="323"/>
      <w:bookmarkEnd w:id="324"/>
      <w:bookmarkEnd w:id="325"/>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pPr>
        <w:spacing w:line="400" w:lineRule="exact"/>
        <w:rPr>
          <w:rFonts w:hint="eastAsia"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5"/>
        <w:tblW w:w="5057" w:type="pct"/>
        <w:jc w:val="center"/>
        <w:tblLayout w:type="autofit"/>
        <w:tblCellMar>
          <w:top w:w="0" w:type="dxa"/>
          <w:left w:w="108" w:type="dxa"/>
          <w:bottom w:w="0" w:type="dxa"/>
          <w:right w:w="108" w:type="dxa"/>
        </w:tblCellMar>
      </w:tblPr>
      <w:tblGrid>
        <w:gridCol w:w="870"/>
        <w:gridCol w:w="1363"/>
        <w:gridCol w:w="2126"/>
        <w:gridCol w:w="1365"/>
        <w:gridCol w:w="1928"/>
        <w:gridCol w:w="2027"/>
      </w:tblGrid>
      <w:tr>
        <w:tblPrEx>
          <w:tblCellMar>
            <w:top w:w="0" w:type="dxa"/>
            <w:left w:w="108" w:type="dxa"/>
            <w:bottom w:w="0" w:type="dxa"/>
            <w:right w:w="108" w:type="dxa"/>
          </w:tblCellMar>
        </w:tblPrEx>
        <w:trPr>
          <w:trHeight w:val="680" w:hRule="atLeast"/>
          <w:jc w:val="center"/>
        </w:trPr>
        <w:tc>
          <w:tcPr>
            <w:tcW w:w="45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r>
              <w:rPr>
                <w:rFonts w:hint="eastAsia"/>
                <w:bCs/>
              </w:rPr>
              <w:t>序号</w:t>
            </w:r>
          </w:p>
        </w:tc>
        <w:tc>
          <w:tcPr>
            <w:tcW w:w="704"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评审项目</w:t>
            </w:r>
          </w:p>
        </w:tc>
        <w:tc>
          <w:tcPr>
            <w:tcW w:w="1098"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计分模型</w:t>
            </w:r>
          </w:p>
        </w:tc>
        <w:tc>
          <w:tcPr>
            <w:tcW w:w="705"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标准分值</w:t>
            </w:r>
          </w:p>
        </w:tc>
        <w:tc>
          <w:tcPr>
            <w:tcW w:w="2042" w:type="pct"/>
            <w:gridSpan w:val="2"/>
            <w:tcBorders>
              <w:top w:val="single" w:color="auto" w:sz="4" w:space="0"/>
              <w:left w:val="nil"/>
              <w:bottom w:val="single" w:color="auto" w:sz="4" w:space="0"/>
              <w:right w:val="single" w:color="auto" w:sz="4" w:space="0"/>
            </w:tcBorders>
            <w:vAlign w:val="center"/>
          </w:tcPr>
          <w:p>
            <w:pPr>
              <w:jc w:val="center"/>
              <w:rPr>
                <w:bCs/>
              </w:rPr>
            </w:pPr>
            <w:r>
              <w:rPr>
                <w:rFonts w:hint="eastAsia"/>
                <w:bCs/>
              </w:rPr>
              <w:t>投标供应商填写</w:t>
            </w:r>
          </w:p>
        </w:tc>
      </w:tr>
      <w:tr>
        <w:tblPrEx>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996" w:type="pct"/>
            <w:tcBorders>
              <w:top w:val="single" w:color="auto" w:sz="4" w:space="0"/>
              <w:left w:val="nil"/>
              <w:bottom w:val="single" w:color="auto" w:sz="4" w:space="0"/>
              <w:right w:val="single" w:color="auto" w:sz="4" w:space="0"/>
            </w:tcBorders>
            <w:vAlign w:val="center"/>
          </w:tcPr>
          <w:p>
            <w:pPr>
              <w:jc w:val="center"/>
              <w:rPr>
                <w:bCs/>
              </w:rPr>
            </w:pPr>
            <w:r>
              <w:rPr>
                <w:rFonts w:hint="eastAsia"/>
                <w:bCs/>
              </w:rPr>
              <w:t>指标值或评分项</w:t>
            </w:r>
          </w:p>
        </w:tc>
        <w:tc>
          <w:tcPr>
            <w:tcW w:w="1046" w:type="pct"/>
            <w:tcBorders>
              <w:top w:val="single" w:color="auto" w:sz="4" w:space="0"/>
              <w:left w:val="nil"/>
              <w:bottom w:val="single" w:color="auto" w:sz="4" w:space="0"/>
              <w:right w:val="single" w:color="auto" w:sz="4" w:space="0"/>
            </w:tcBorders>
            <w:vAlign w:val="center"/>
          </w:tcPr>
          <w:p>
            <w:pPr>
              <w:jc w:val="center"/>
              <w:rPr>
                <w:bCs/>
              </w:rPr>
            </w:pPr>
            <w:r>
              <w:rPr>
                <w:rFonts w:hint="eastAsia"/>
                <w:bCs/>
              </w:rPr>
              <w:t>文件名称</w:t>
            </w:r>
            <w:r>
              <w:rPr>
                <w:rFonts w:hint="eastAsia" w:ascii="宋体" w:hAnsi="宋体"/>
                <w:bCs/>
              </w:rPr>
              <w:t>∕页码</w:t>
            </w:r>
          </w:p>
        </w:tc>
      </w:tr>
      <w:tr>
        <w:tblPrEx>
          <w:tblCellMar>
            <w:top w:w="0" w:type="dxa"/>
            <w:left w:w="108" w:type="dxa"/>
            <w:bottom w:w="0" w:type="dxa"/>
            <w:right w:w="108" w:type="dxa"/>
          </w:tblCellMar>
        </w:tblPrEx>
        <w:trPr>
          <w:trHeight w:val="680" w:hRule="atLeast"/>
          <w:jc w:val="center"/>
        </w:trPr>
        <w:tc>
          <w:tcPr>
            <w:tcW w:w="450" w:type="pct"/>
            <w:tcBorders>
              <w:top w:val="nil"/>
              <w:left w:val="single" w:color="auto" w:sz="4" w:space="0"/>
              <w:bottom w:val="single" w:color="auto" w:sz="4" w:space="0"/>
              <w:right w:val="single" w:color="auto" w:sz="4" w:space="0"/>
            </w:tcBorders>
            <w:vAlign w:val="center"/>
          </w:tcPr>
          <w:p>
            <w:pPr>
              <w:jc w:val="center"/>
              <w:rPr>
                <w:bCs/>
              </w:rPr>
            </w:pPr>
          </w:p>
        </w:tc>
        <w:tc>
          <w:tcPr>
            <w:tcW w:w="704" w:type="pct"/>
            <w:tcBorders>
              <w:top w:val="nil"/>
              <w:left w:val="nil"/>
              <w:bottom w:val="single" w:color="auto" w:sz="4" w:space="0"/>
              <w:right w:val="single" w:color="auto" w:sz="4" w:space="0"/>
            </w:tcBorders>
            <w:vAlign w:val="center"/>
          </w:tcPr>
          <w:p>
            <w:pPr>
              <w:jc w:val="center"/>
              <w:rPr>
                <w:bCs/>
              </w:rPr>
            </w:pPr>
            <w:r>
              <w:rPr>
                <w:rFonts w:hint="eastAsia"/>
                <w:bCs/>
              </w:rPr>
              <w:t>合</w:t>
            </w:r>
            <w:r>
              <w:rPr>
                <w:bCs/>
              </w:rPr>
              <w:t xml:space="preserve">  </w:t>
            </w:r>
            <w:r>
              <w:rPr>
                <w:rFonts w:hint="eastAsia"/>
                <w:bCs/>
              </w:rPr>
              <w:t>计</w:t>
            </w:r>
          </w:p>
        </w:tc>
        <w:tc>
          <w:tcPr>
            <w:tcW w:w="1098" w:type="pct"/>
            <w:tcBorders>
              <w:top w:val="nil"/>
              <w:left w:val="nil"/>
              <w:bottom w:val="single" w:color="auto" w:sz="4" w:space="0"/>
              <w:right w:val="single" w:color="auto" w:sz="4" w:space="0"/>
            </w:tcBorders>
            <w:vAlign w:val="center"/>
          </w:tcPr>
          <w:p>
            <w:pPr>
              <w:jc w:val="center"/>
              <w:rPr>
                <w:bCs/>
              </w:rPr>
            </w:pPr>
          </w:p>
        </w:tc>
        <w:tc>
          <w:tcPr>
            <w:tcW w:w="705" w:type="pct"/>
            <w:tcBorders>
              <w:top w:val="nil"/>
              <w:left w:val="nil"/>
              <w:bottom w:val="single" w:color="auto" w:sz="4" w:space="0"/>
              <w:right w:val="single" w:color="auto" w:sz="4" w:space="0"/>
            </w:tcBorders>
            <w:vAlign w:val="center"/>
          </w:tcPr>
          <w:p>
            <w:pPr>
              <w:jc w:val="center"/>
              <w:rPr>
                <w:bCs/>
              </w:rPr>
            </w:pP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一</w:t>
            </w:r>
          </w:p>
        </w:tc>
        <w:tc>
          <w:tcPr>
            <w:tcW w:w="704"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项目1</w:t>
            </w:r>
          </w:p>
        </w:tc>
        <w:tc>
          <w:tcPr>
            <w:tcW w:w="1098" w:type="pct"/>
            <w:tcBorders>
              <w:top w:val="nil"/>
              <w:left w:val="nil"/>
              <w:bottom w:val="single" w:color="auto" w:sz="4" w:space="0"/>
              <w:right w:val="single" w:color="auto" w:sz="4" w:space="0"/>
            </w:tcBorders>
            <w:vAlign w:val="center"/>
          </w:tcPr>
          <w:p>
            <w:pPr>
              <w:jc w:val="center"/>
              <w:rPr>
                <w:rFonts w:hint="eastAsia"/>
                <w:bCs/>
              </w:rPr>
            </w:pPr>
            <w:r>
              <w:rPr>
                <w:bCs/>
              </w:rPr>
              <w:t xml:space="preserve"> </w:t>
            </w:r>
          </w:p>
        </w:tc>
        <w:tc>
          <w:tcPr>
            <w:tcW w:w="705" w:type="pct"/>
            <w:tcBorders>
              <w:top w:val="nil"/>
              <w:left w:val="nil"/>
              <w:bottom w:val="single" w:color="auto" w:sz="4" w:space="0"/>
              <w:right w:val="single" w:color="auto" w:sz="4" w:space="0"/>
            </w:tcBorders>
            <w:vAlign w:val="center"/>
          </w:tcPr>
          <w:p>
            <w:pPr>
              <w:jc w:val="center"/>
              <w:rPr>
                <w:bCs/>
              </w:rPr>
            </w:pPr>
            <w:r>
              <w:rPr>
                <w:bCs/>
              </w:rPr>
              <w:t xml:space="preserve"> </w:t>
            </w: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1</w:t>
            </w:r>
          </w:p>
        </w:tc>
        <w:tc>
          <w:tcPr>
            <w:tcW w:w="704"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指标1</w:t>
            </w:r>
          </w:p>
        </w:tc>
        <w:tc>
          <w:tcPr>
            <w:tcW w:w="1098" w:type="pct"/>
            <w:tcBorders>
              <w:top w:val="nil"/>
              <w:left w:val="nil"/>
              <w:bottom w:val="single" w:color="auto" w:sz="4" w:space="0"/>
              <w:right w:val="single" w:color="auto" w:sz="4" w:space="0"/>
            </w:tcBorders>
            <w:vAlign w:val="center"/>
          </w:tcPr>
          <w:p>
            <w:pPr>
              <w:jc w:val="center"/>
              <w:rPr>
                <w:rFonts w:hint="eastAsia"/>
                <w:bCs/>
              </w:rPr>
            </w:pPr>
            <w:r>
              <w:rPr>
                <w:bCs/>
              </w:rPr>
              <w:t xml:space="preserve"> </w:t>
            </w:r>
          </w:p>
        </w:tc>
        <w:tc>
          <w:tcPr>
            <w:tcW w:w="705" w:type="pct"/>
            <w:tcBorders>
              <w:top w:val="nil"/>
              <w:left w:val="nil"/>
              <w:bottom w:val="single" w:color="auto" w:sz="4" w:space="0"/>
              <w:right w:val="single" w:color="auto" w:sz="4" w:space="0"/>
            </w:tcBorders>
            <w:vAlign w:val="center"/>
          </w:tcPr>
          <w:p>
            <w:pPr>
              <w:jc w:val="center"/>
              <w:rPr>
                <w:bCs/>
              </w:rPr>
            </w:pP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2</w:t>
            </w:r>
          </w:p>
        </w:tc>
        <w:tc>
          <w:tcPr>
            <w:tcW w:w="704"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指标2</w:t>
            </w:r>
          </w:p>
        </w:tc>
        <w:tc>
          <w:tcPr>
            <w:tcW w:w="1098" w:type="pct"/>
            <w:tcBorders>
              <w:top w:val="nil"/>
              <w:left w:val="nil"/>
              <w:bottom w:val="single" w:color="auto" w:sz="4" w:space="0"/>
              <w:right w:val="single" w:color="auto" w:sz="4" w:space="0"/>
            </w:tcBorders>
            <w:vAlign w:val="center"/>
          </w:tcPr>
          <w:p>
            <w:pPr>
              <w:jc w:val="center"/>
              <w:rPr>
                <w:rFonts w:hint="eastAsia"/>
                <w:bCs/>
              </w:rPr>
            </w:pPr>
            <w:r>
              <w:rPr>
                <w:bCs/>
              </w:rPr>
              <w:t xml:space="preserve"> </w:t>
            </w:r>
          </w:p>
        </w:tc>
        <w:tc>
          <w:tcPr>
            <w:tcW w:w="705" w:type="pct"/>
            <w:tcBorders>
              <w:top w:val="nil"/>
              <w:left w:val="nil"/>
              <w:bottom w:val="single" w:color="auto" w:sz="4" w:space="0"/>
              <w:right w:val="single" w:color="auto" w:sz="4" w:space="0"/>
            </w:tcBorders>
            <w:vAlign w:val="center"/>
          </w:tcPr>
          <w:p>
            <w:pPr>
              <w:jc w:val="center"/>
              <w:rPr>
                <w:bCs/>
              </w:rPr>
            </w:pP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3</w:t>
            </w:r>
          </w:p>
        </w:tc>
        <w:tc>
          <w:tcPr>
            <w:tcW w:w="704"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指标3</w:t>
            </w:r>
          </w:p>
        </w:tc>
        <w:tc>
          <w:tcPr>
            <w:tcW w:w="1098" w:type="pct"/>
            <w:tcBorders>
              <w:top w:val="nil"/>
              <w:left w:val="nil"/>
              <w:bottom w:val="single" w:color="auto" w:sz="4" w:space="0"/>
              <w:right w:val="single" w:color="auto" w:sz="4" w:space="0"/>
            </w:tcBorders>
            <w:vAlign w:val="center"/>
          </w:tcPr>
          <w:p>
            <w:pPr>
              <w:jc w:val="center"/>
              <w:rPr>
                <w:rFonts w:hint="eastAsia"/>
                <w:bCs/>
              </w:rPr>
            </w:pPr>
            <w:r>
              <w:rPr>
                <w:bCs/>
              </w:rPr>
              <w:t xml:space="preserve"> </w:t>
            </w:r>
          </w:p>
        </w:tc>
        <w:tc>
          <w:tcPr>
            <w:tcW w:w="705" w:type="pct"/>
            <w:tcBorders>
              <w:top w:val="nil"/>
              <w:left w:val="nil"/>
              <w:bottom w:val="single" w:color="auto" w:sz="4" w:space="0"/>
              <w:right w:val="single" w:color="auto" w:sz="4" w:space="0"/>
            </w:tcBorders>
            <w:vAlign w:val="center"/>
          </w:tcPr>
          <w:p>
            <w:pPr>
              <w:jc w:val="center"/>
              <w:rPr>
                <w:bCs/>
              </w:rPr>
            </w:pP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 xml:space="preserve">   </w:t>
            </w:r>
          </w:p>
        </w:tc>
        <w:tc>
          <w:tcPr>
            <w:tcW w:w="704"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w:t>
            </w:r>
          </w:p>
        </w:tc>
        <w:tc>
          <w:tcPr>
            <w:tcW w:w="1098" w:type="pct"/>
            <w:tcBorders>
              <w:top w:val="nil"/>
              <w:left w:val="nil"/>
              <w:bottom w:val="single" w:color="auto" w:sz="4" w:space="0"/>
              <w:right w:val="single" w:color="auto" w:sz="4" w:space="0"/>
            </w:tcBorders>
            <w:vAlign w:val="center"/>
          </w:tcPr>
          <w:p>
            <w:pPr>
              <w:jc w:val="center"/>
              <w:rPr>
                <w:rFonts w:hint="eastAsia"/>
                <w:bCs/>
              </w:rPr>
            </w:pPr>
          </w:p>
        </w:tc>
        <w:tc>
          <w:tcPr>
            <w:tcW w:w="705" w:type="pct"/>
            <w:tcBorders>
              <w:top w:val="nil"/>
              <w:left w:val="nil"/>
              <w:bottom w:val="single" w:color="auto" w:sz="4" w:space="0"/>
              <w:right w:val="single" w:color="auto" w:sz="4" w:space="0"/>
            </w:tcBorders>
            <w:vAlign w:val="center"/>
          </w:tcPr>
          <w:p>
            <w:pPr>
              <w:jc w:val="center"/>
              <w:rPr>
                <w:bCs/>
              </w:rPr>
            </w:pP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二</w:t>
            </w:r>
          </w:p>
        </w:tc>
        <w:tc>
          <w:tcPr>
            <w:tcW w:w="704" w:type="pct"/>
            <w:tcBorders>
              <w:top w:val="single" w:color="auto" w:sz="4" w:space="0"/>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项目2</w:t>
            </w:r>
          </w:p>
        </w:tc>
        <w:tc>
          <w:tcPr>
            <w:tcW w:w="1098" w:type="pct"/>
            <w:tcBorders>
              <w:top w:val="single" w:color="auto" w:sz="4" w:space="0"/>
              <w:left w:val="nil"/>
              <w:bottom w:val="single" w:color="auto" w:sz="4" w:space="0"/>
              <w:right w:val="single" w:color="auto" w:sz="4" w:space="0"/>
            </w:tcBorders>
            <w:vAlign w:val="center"/>
          </w:tcPr>
          <w:p>
            <w:pPr>
              <w:jc w:val="center"/>
              <w:rPr>
                <w:rFonts w:hint="eastAsia"/>
                <w:bCs/>
              </w:rPr>
            </w:pPr>
            <w:r>
              <w:rPr>
                <w:bCs/>
              </w:rPr>
              <w:t xml:space="preserve"> </w:t>
            </w:r>
          </w:p>
        </w:tc>
        <w:tc>
          <w:tcPr>
            <w:tcW w:w="705" w:type="pct"/>
            <w:tcBorders>
              <w:top w:val="single" w:color="auto" w:sz="4" w:space="0"/>
              <w:left w:val="nil"/>
              <w:bottom w:val="single" w:color="auto" w:sz="4" w:space="0"/>
              <w:right w:val="single" w:color="auto" w:sz="4" w:space="0"/>
            </w:tcBorders>
            <w:vAlign w:val="center"/>
          </w:tcPr>
          <w:p>
            <w:pPr>
              <w:jc w:val="center"/>
              <w:rPr>
                <w:bCs/>
              </w:rPr>
            </w:pP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1</w:t>
            </w:r>
          </w:p>
        </w:tc>
        <w:tc>
          <w:tcPr>
            <w:tcW w:w="704" w:type="pct"/>
            <w:tcBorders>
              <w:top w:val="single" w:color="auto" w:sz="4" w:space="0"/>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 xml:space="preserve"> 指标1</w:t>
            </w:r>
          </w:p>
        </w:tc>
        <w:tc>
          <w:tcPr>
            <w:tcW w:w="1098" w:type="pct"/>
            <w:tcBorders>
              <w:top w:val="single" w:color="auto" w:sz="4" w:space="0"/>
              <w:left w:val="nil"/>
              <w:bottom w:val="single" w:color="auto" w:sz="4" w:space="0"/>
              <w:right w:val="single" w:color="auto" w:sz="4" w:space="0"/>
            </w:tcBorders>
            <w:vAlign w:val="center"/>
          </w:tcPr>
          <w:p>
            <w:pPr>
              <w:jc w:val="center"/>
              <w:rPr>
                <w:rFonts w:hint="eastAsia"/>
                <w:bCs/>
              </w:rPr>
            </w:pPr>
            <w:r>
              <w:rPr>
                <w:bCs/>
              </w:rPr>
              <w:t xml:space="preserve"> </w:t>
            </w:r>
          </w:p>
        </w:tc>
        <w:tc>
          <w:tcPr>
            <w:tcW w:w="705" w:type="pct"/>
            <w:tcBorders>
              <w:top w:val="single" w:color="auto" w:sz="4" w:space="0"/>
              <w:left w:val="nil"/>
              <w:bottom w:val="single" w:color="auto" w:sz="4" w:space="0"/>
              <w:right w:val="single" w:color="auto" w:sz="4" w:space="0"/>
            </w:tcBorders>
            <w:vAlign w:val="center"/>
          </w:tcPr>
          <w:p>
            <w:pPr>
              <w:jc w:val="center"/>
              <w:rPr>
                <w:bCs/>
              </w:rPr>
            </w:pPr>
          </w:p>
        </w:tc>
        <w:tc>
          <w:tcPr>
            <w:tcW w:w="996" w:type="pct"/>
            <w:tcBorders>
              <w:top w:val="single" w:color="auto" w:sz="4" w:space="0"/>
              <w:left w:val="nil"/>
              <w:bottom w:val="single" w:color="auto" w:sz="4" w:space="0"/>
              <w:right w:val="single" w:color="auto" w:sz="4" w:space="0"/>
            </w:tcBorders>
            <w:vAlign w:val="center"/>
          </w:tcPr>
          <w:p>
            <w:pPr>
              <w:jc w:val="center"/>
              <w:rPr>
                <w:bCs/>
              </w:rPr>
            </w:pPr>
          </w:p>
        </w:tc>
        <w:tc>
          <w:tcPr>
            <w:tcW w:w="1046"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2</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 xml:space="preserve"> 指标2</w:t>
            </w:r>
          </w:p>
        </w:tc>
        <w:tc>
          <w:tcPr>
            <w:tcW w:w="1098"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r>
              <w:rPr>
                <w:bCs/>
              </w:rPr>
              <w:t xml:space="preserve"> </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996"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046" w:type="pct"/>
            <w:tcBorders>
              <w:top w:val="single" w:color="auto" w:sz="4" w:space="0"/>
              <w:left w:val="single" w:color="auto" w:sz="4" w:space="0"/>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3</w:t>
            </w: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指标3</w:t>
            </w:r>
          </w:p>
        </w:tc>
        <w:tc>
          <w:tcPr>
            <w:tcW w:w="1098"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996"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046" w:type="pct"/>
            <w:tcBorders>
              <w:top w:val="single" w:color="auto" w:sz="4" w:space="0"/>
              <w:left w:val="single" w:color="auto" w:sz="4" w:space="0"/>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450"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04"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w:t>
            </w:r>
          </w:p>
        </w:tc>
        <w:tc>
          <w:tcPr>
            <w:tcW w:w="1098"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996"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046" w:type="pct"/>
            <w:tcBorders>
              <w:top w:val="single" w:color="auto" w:sz="4" w:space="0"/>
              <w:left w:val="single" w:color="auto" w:sz="4" w:space="0"/>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rPr>
            </w:pPr>
            <w:r>
              <w:rPr>
                <w:rFonts w:hint="eastAsia"/>
                <w:bCs/>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pPr>
        <w:widowControl/>
        <w:ind w:firstLine="480" w:firstLineChars="200"/>
        <w:jc w:val="left"/>
        <w:rPr>
          <w:rFonts w:ascii="Arial" w:hAnsi="Arial" w:eastAsia="黑体"/>
          <w:bCs/>
          <w:kern w:val="2"/>
          <w:sz w:val="28"/>
          <w:szCs w:val="28"/>
        </w:rPr>
      </w:pPr>
      <w:r>
        <w:rPr>
          <w:bCs/>
        </w:rPr>
        <w:br w:type="page"/>
      </w:r>
    </w:p>
    <w:p>
      <w:pPr>
        <w:pStyle w:val="8"/>
        <w:spacing w:before="120" w:beforeLines="50" w:after="120" w:afterLines="50"/>
        <w:rPr>
          <w:rFonts w:ascii="宋体" w:hAnsi="宋体"/>
          <w:b w:val="0"/>
        </w:rPr>
      </w:pPr>
      <w:bookmarkStart w:id="326" w:name="_Toc17322"/>
      <w:bookmarkStart w:id="327" w:name="_Toc32541"/>
      <w:bookmarkStart w:id="328" w:name="_Toc26765"/>
      <w:bookmarkStart w:id="329" w:name="_Toc32128"/>
      <w:r>
        <w:rPr>
          <w:rFonts w:hint="eastAsia"/>
          <w:b w:val="0"/>
        </w:rPr>
        <w:t>附件</w:t>
      </w:r>
      <w:r>
        <w:rPr>
          <w:b w:val="0"/>
        </w:rPr>
        <w:t xml:space="preserve">2-3 </w:t>
      </w:r>
      <w:r>
        <w:rPr>
          <w:rFonts w:hint="eastAsia"/>
          <w:b w:val="0"/>
        </w:rPr>
        <w:t>技术评审索引表</w:t>
      </w:r>
      <w:bookmarkEnd w:id="326"/>
      <w:bookmarkEnd w:id="327"/>
      <w:bookmarkEnd w:id="328"/>
      <w:bookmarkEnd w:id="329"/>
    </w:p>
    <w:p>
      <w:pPr>
        <w:spacing w:before="120" w:beforeLines="50" w:after="120" w:afterLines="50" w:line="560" w:lineRule="exact"/>
        <w:jc w:val="center"/>
        <w:rPr>
          <w:rFonts w:hint="eastAsia" w:ascii="黑体" w:hAnsi="黑体" w:eastAsia="黑体" w:cs="黑体"/>
          <w:bCs/>
          <w:sz w:val="36"/>
          <w:szCs w:val="36"/>
        </w:rPr>
      </w:pPr>
      <w:r>
        <w:rPr>
          <w:rFonts w:hint="eastAsia" w:ascii="黑体" w:hAnsi="黑体" w:eastAsia="黑体" w:cs="黑体"/>
          <w:bCs/>
          <w:sz w:val="36"/>
          <w:szCs w:val="36"/>
        </w:rPr>
        <w:t>技术评审索引表</w:t>
      </w:r>
    </w:p>
    <w:p>
      <w:pPr>
        <w:spacing w:line="400" w:lineRule="exact"/>
        <w:rPr>
          <w:rFonts w:hint="eastAsia"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5"/>
        <w:tblW w:w="5092" w:type="pct"/>
        <w:jc w:val="center"/>
        <w:tblLayout w:type="autofit"/>
        <w:tblCellMar>
          <w:top w:w="0" w:type="dxa"/>
          <w:left w:w="108" w:type="dxa"/>
          <w:bottom w:w="0" w:type="dxa"/>
          <w:right w:w="108" w:type="dxa"/>
        </w:tblCellMar>
      </w:tblPr>
      <w:tblGrid>
        <w:gridCol w:w="1012"/>
        <w:gridCol w:w="1557"/>
        <w:gridCol w:w="1649"/>
        <w:gridCol w:w="1290"/>
        <w:gridCol w:w="1936"/>
        <w:gridCol w:w="2302"/>
      </w:tblGrid>
      <w:tr>
        <w:tblPrEx>
          <w:tblCellMar>
            <w:top w:w="0" w:type="dxa"/>
            <w:left w:w="108" w:type="dxa"/>
            <w:bottom w:w="0" w:type="dxa"/>
            <w:right w:w="108" w:type="dxa"/>
          </w:tblCellMar>
        </w:tblPrEx>
        <w:trPr>
          <w:trHeight w:val="680" w:hRule="atLeast"/>
          <w:jc w:val="center"/>
        </w:trPr>
        <w:tc>
          <w:tcPr>
            <w:tcW w:w="51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r>
              <w:rPr>
                <w:rFonts w:hint="eastAsia"/>
                <w:bCs/>
              </w:rPr>
              <w:t>序号</w:t>
            </w:r>
          </w:p>
        </w:tc>
        <w:tc>
          <w:tcPr>
            <w:tcW w:w="799"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评审项目</w:t>
            </w:r>
          </w:p>
        </w:tc>
        <w:tc>
          <w:tcPr>
            <w:tcW w:w="846"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计分模型</w:t>
            </w:r>
          </w:p>
        </w:tc>
        <w:tc>
          <w:tcPr>
            <w:tcW w:w="662"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标准分值</w:t>
            </w:r>
          </w:p>
        </w:tc>
        <w:tc>
          <w:tcPr>
            <w:tcW w:w="2174" w:type="pct"/>
            <w:gridSpan w:val="2"/>
            <w:tcBorders>
              <w:top w:val="single" w:color="auto" w:sz="4" w:space="0"/>
              <w:left w:val="nil"/>
              <w:bottom w:val="single" w:color="auto" w:sz="4" w:space="0"/>
              <w:right w:val="single" w:color="auto" w:sz="4" w:space="0"/>
            </w:tcBorders>
            <w:vAlign w:val="center"/>
          </w:tcPr>
          <w:p>
            <w:pPr>
              <w:jc w:val="center"/>
              <w:rPr>
                <w:bCs/>
              </w:rPr>
            </w:pPr>
            <w:r>
              <w:rPr>
                <w:rFonts w:hint="eastAsia"/>
                <w:bCs/>
              </w:rPr>
              <w:t>投标供应商填写</w:t>
            </w:r>
          </w:p>
        </w:tc>
      </w:tr>
      <w:tr>
        <w:tblPrEx>
          <w:tblCellMar>
            <w:top w:w="0" w:type="dxa"/>
            <w:left w:w="108" w:type="dxa"/>
            <w:bottom w:w="0" w:type="dxa"/>
            <w:right w:w="108"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993" w:type="pct"/>
            <w:tcBorders>
              <w:top w:val="single" w:color="auto" w:sz="4" w:space="0"/>
              <w:left w:val="nil"/>
              <w:bottom w:val="single" w:color="auto" w:sz="4" w:space="0"/>
              <w:right w:val="single" w:color="auto" w:sz="4" w:space="0"/>
            </w:tcBorders>
            <w:vAlign w:val="center"/>
          </w:tcPr>
          <w:p>
            <w:pPr>
              <w:jc w:val="center"/>
              <w:rPr>
                <w:bCs/>
              </w:rPr>
            </w:pPr>
            <w:r>
              <w:rPr>
                <w:rFonts w:hint="eastAsia"/>
                <w:bCs/>
              </w:rPr>
              <w:t>指标值或评分项</w:t>
            </w:r>
          </w:p>
        </w:tc>
        <w:tc>
          <w:tcPr>
            <w:tcW w:w="1181" w:type="pct"/>
            <w:tcBorders>
              <w:top w:val="single" w:color="auto" w:sz="4" w:space="0"/>
              <w:left w:val="nil"/>
              <w:bottom w:val="single" w:color="auto" w:sz="4" w:space="0"/>
              <w:right w:val="single" w:color="auto" w:sz="4" w:space="0"/>
            </w:tcBorders>
            <w:vAlign w:val="center"/>
          </w:tcPr>
          <w:p>
            <w:pPr>
              <w:jc w:val="center"/>
              <w:rPr>
                <w:bCs/>
              </w:rPr>
            </w:pPr>
            <w:r>
              <w:rPr>
                <w:rFonts w:hint="eastAsia"/>
                <w:bCs/>
              </w:rPr>
              <w:t>文件名称</w:t>
            </w:r>
            <w:r>
              <w:rPr>
                <w:rFonts w:hint="eastAsia" w:ascii="宋体" w:hAnsi="宋体"/>
                <w:bCs/>
              </w:rPr>
              <w:t>∕页码</w:t>
            </w:r>
          </w:p>
        </w:tc>
      </w:tr>
      <w:tr>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pPr>
              <w:jc w:val="center"/>
              <w:rPr>
                <w:bCs/>
              </w:rPr>
            </w:pPr>
          </w:p>
        </w:tc>
        <w:tc>
          <w:tcPr>
            <w:tcW w:w="799" w:type="pct"/>
            <w:tcBorders>
              <w:top w:val="nil"/>
              <w:left w:val="nil"/>
              <w:bottom w:val="single" w:color="auto" w:sz="4" w:space="0"/>
              <w:right w:val="single" w:color="auto" w:sz="4" w:space="0"/>
            </w:tcBorders>
            <w:vAlign w:val="center"/>
          </w:tcPr>
          <w:p>
            <w:pPr>
              <w:jc w:val="center"/>
              <w:rPr>
                <w:bCs/>
              </w:rPr>
            </w:pPr>
            <w:r>
              <w:rPr>
                <w:rFonts w:hint="eastAsia"/>
                <w:bCs/>
              </w:rPr>
              <w:t>合</w:t>
            </w:r>
            <w:r>
              <w:rPr>
                <w:bCs/>
              </w:rPr>
              <w:t xml:space="preserve">  </w:t>
            </w:r>
            <w:r>
              <w:rPr>
                <w:rFonts w:hint="eastAsia"/>
                <w:bCs/>
              </w:rPr>
              <w:t>计</w:t>
            </w:r>
          </w:p>
        </w:tc>
        <w:tc>
          <w:tcPr>
            <w:tcW w:w="846" w:type="pct"/>
            <w:tcBorders>
              <w:top w:val="nil"/>
              <w:left w:val="nil"/>
              <w:bottom w:val="single" w:color="auto" w:sz="4" w:space="0"/>
              <w:right w:val="single" w:color="auto" w:sz="4" w:space="0"/>
            </w:tcBorders>
            <w:vAlign w:val="center"/>
          </w:tcPr>
          <w:p>
            <w:pPr>
              <w:jc w:val="center"/>
              <w:rPr>
                <w:bCs/>
              </w:rPr>
            </w:pPr>
          </w:p>
        </w:tc>
        <w:tc>
          <w:tcPr>
            <w:tcW w:w="662" w:type="pct"/>
            <w:tcBorders>
              <w:top w:val="nil"/>
              <w:left w:val="nil"/>
              <w:bottom w:val="single" w:color="auto" w:sz="4" w:space="0"/>
              <w:right w:val="single" w:color="auto" w:sz="4" w:space="0"/>
            </w:tcBorders>
            <w:vAlign w:val="center"/>
          </w:tcPr>
          <w:p>
            <w:pPr>
              <w:jc w:val="center"/>
              <w:rPr>
                <w:bCs/>
              </w:rPr>
            </w:pP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一</w:t>
            </w:r>
          </w:p>
        </w:tc>
        <w:tc>
          <w:tcPr>
            <w:tcW w:w="799"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项目1</w:t>
            </w:r>
          </w:p>
        </w:tc>
        <w:tc>
          <w:tcPr>
            <w:tcW w:w="846" w:type="pct"/>
            <w:tcBorders>
              <w:top w:val="nil"/>
              <w:left w:val="nil"/>
              <w:bottom w:val="single" w:color="auto" w:sz="4" w:space="0"/>
              <w:right w:val="single" w:color="auto" w:sz="4" w:space="0"/>
            </w:tcBorders>
            <w:vAlign w:val="center"/>
          </w:tcPr>
          <w:p>
            <w:pPr>
              <w:jc w:val="center"/>
              <w:rPr>
                <w:rFonts w:hint="eastAsia" w:ascii="宋体" w:hAnsi="宋体"/>
                <w:bCs/>
              </w:rPr>
            </w:pPr>
          </w:p>
        </w:tc>
        <w:tc>
          <w:tcPr>
            <w:tcW w:w="662" w:type="pct"/>
            <w:tcBorders>
              <w:top w:val="nil"/>
              <w:left w:val="nil"/>
              <w:bottom w:val="single" w:color="auto" w:sz="4" w:space="0"/>
              <w:right w:val="single" w:color="auto" w:sz="4" w:space="0"/>
            </w:tcBorders>
            <w:vAlign w:val="center"/>
          </w:tcPr>
          <w:p>
            <w:pPr>
              <w:jc w:val="center"/>
              <w:rPr>
                <w:rFonts w:hint="eastAsia"/>
                <w:bCs/>
              </w:rPr>
            </w:pPr>
            <w:r>
              <w:rPr>
                <w:bCs/>
              </w:rPr>
              <w:t xml:space="preserve"> </w:t>
            </w: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1</w:t>
            </w:r>
          </w:p>
        </w:tc>
        <w:tc>
          <w:tcPr>
            <w:tcW w:w="799"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指标1</w:t>
            </w:r>
          </w:p>
        </w:tc>
        <w:tc>
          <w:tcPr>
            <w:tcW w:w="846" w:type="pct"/>
            <w:tcBorders>
              <w:top w:val="nil"/>
              <w:left w:val="nil"/>
              <w:bottom w:val="single" w:color="auto" w:sz="4" w:space="0"/>
              <w:right w:val="single" w:color="auto" w:sz="4" w:space="0"/>
            </w:tcBorders>
            <w:vAlign w:val="center"/>
          </w:tcPr>
          <w:p>
            <w:pPr>
              <w:jc w:val="center"/>
              <w:rPr>
                <w:rFonts w:hint="eastAsia" w:ascii="宋体" w:hAnsi="宋体"/>
                <w:bCs/>
              </w:rPr>
            </w:pPr>
          </w:p>
        </w:tc>
        <w:tc>
          <w:tcPr>
            <w:tcW w:w="662" w:type="pct"/>
            <w:tcBorders>
              <w:top w:val="nil"/>
              <w:left w:val="nil"/>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2</w:t>
            </w:r>
          </w:p>
        </w:tc>
        <w:tc>
          <w:tcPr>
            <w:tcW w:w="799"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指标2</w:t>
            </w:r>
          </w:p>
        </w:tc>
        <w:tc>
          <w:tcPr>
            <w:tcW w:w="846" w:type="pct"/>
            <w:tcBorders>
              <w:top w:val="nil"/>
              <w:left w:val="nil"/>
              <w:bottom w:val="single" w:color="auto" w:sz="4" w:space="0"/>
              <w:right w:val="single" w:color="auto" w:sz="4" w:space="0"/>
            </w:tcBorders>
            <w:vAlign w:val="center"/>
          </w:tcPr>
          <w:p>
            <w:pPr>
              <w:jc w:val="center"/>
              <w:rPr>
                <w:rFonts w:hint="eastAsia" w:ascii="宋体" w:hAnsi="宋体"/>
                <w:bCs/>
              </w:rPr>
            </w:pPr>
          </w:p>
        </w:tc>
        <w:tc>
          <w:tcPr>
            <w:tcW w:w="662" w:type="pct"/>
            <w:tcBorders>
              <w:top w:val="nil"/>
              <w:left w:val="nil"/>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3</w:t>
            </w:r>
          </w:p>
        </w:tc>
        <w:tc>
          <w:tcPr>
            <w:tcW w:w="799"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指标3</w:t>
            </w:r>
          </w:p>
        </w:tc>
        <w:tc>
          <w:tcPr>
            <w:tcW w:w="846" w:type="pct"/>
            <w:tcBorders>
              <w:top w:val="nil"/>
              <w:left w:val="nil"/>
              <w:bottom w:val="single" w:color="auto" w:sz="4" w:space="0"/>
              <w:right w:val="single" w:color="auto" w:sz="4" w:space="0"/>
            </w:tcBorders>
            <w:vAlign w:val="center"/>
          </w:tcPr>
          <w:p>
            <w:pPr>
              <w:jc w:val="center"/>
              <w:rPr>
                <w:rFonts w:hint="eastAsia" w:ascii="宋体" w:hAnsi="宋体"/>
                <w:bCs/>
              </w:rPr>
            </w:pPr>
          </w:p>
        </w:tc>
        <w:tc>
          <w:tcPr>
            <w:tcW w:w="662" w:type="pct"/>
            <w:tcBorders>
              <w:top w:val="nil"/>
              <w:left w:val="nil"/>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nil"/>
              <w:left w:val="single" w:color="auto" w:sz="4" w:space="0"/>
              <w:bottom w:val="single" w:color="auto" w:sz="4" w:space="0"/>
              <w:right w:val="single" w:color="auto" w:sz="4" w:space="0"/>
            </w:tcBorders>
            <w:vAlign w:val="center"/>
          </w:tcPr>
          <w:p>
            <w:pPr>
              <w:jc w:val="center"/>
              <w:rPr>
                <w:rFonts w:ascii="宋体" w:hAnsi="宋体"/>
                <w:bCs/>
              </w:rPr>
            </w:pPr>
          </w:p>
        </w:tc>
        <w:tc>
          <w:tcPr>
            <w:tcW w:w="799" w:type="pct"/>
            <w:tcBorders>
              <w:top w:val="nil"/>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w:t>
            </w:r>
          </w:p>
        </w:tc>
        <w:tc>
          <w:tcPr>
            <w:tcW w:w="846" w:type="pct"/>
            <w:tcBorders>
              <w:top w:val="nil"/>
              <w:left w:val="nil"/>
              <w:bottom w:val="single" w:color="auto" w:sz="4" w:space="0"/>
              <w:right w:val="single" w:color="auto" w:sz="4" w:space="0"/>
            </w:tcBorders>
            <w:vAlign w:val="center"/>
          </w:tcPr>
          <w:p>
            <w:pPr>
              <w:jc w:val="center"/>
              <w:rPr>
                <w:rFonts w:hint="eastAsia" w:ascii="宋体" w:hAnsi="宋体"/>
                <w:bCs/>
              </w:rPr>
            </w:pPr>
          </w:p>
        </w:tc>
        <w:tc>
          <w:tcPr>
            <w:tcW w:w="662" w:type="pct"/>
            <w:tcBorders>
              <w:top w:val="nil"/>
              <w:left w:val="nil"/>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二</w:t>
            </w:r>
          </w:p>
        </w:tc>
        <w:tc>
          <w:tcPr>
            <w:tcW w:w="799" w:type="pct"/>
            <w:tcBorders>
              <w:top w:val="single" w:color="auto" w:sz="4" w:space="0"/>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项目2</w:t>
            </w:r>
          </w:p>
        </w:tc>
        <w:tc>
          <w:tcPr>
            <w:tcW w:w="846" w:type="pct"/>
            <w:tcBorders>
              <w:top w:val="single" w:color="auto" w:sz="4" w:space="0"/>
              <w:left w:val="nil"/>
              <w:bottom w:val="single" w:color="auto" w:sz="4" w:space="0"/>
              <w:right w:val="single" w:color="auto" w:sz="4" w:space="0"/>
            </w:tcBorders>
            <w:vAlign w:val="center"/>
          </w:tcPr>
          <w:p>
            <w:pPr>
              <w:jc w:val="center"/>
              <w:rPr>
                <w:rFonts w:hint="eastAsia" w:ascii="宋体" w:hAnsi="宋体"/>
                <w:bCs/>
              </w:rPr>
            </w:pPr>
          </w:p>
        </w:tc>
        <w:tc>
          <w:tcPr>
            <w:tcW w:w="662" w:type="pct"/>
            <w:tcBorders>
              <w:top w:val="single" w:color="auto" w:sz="4" w:space="0"/>
              <w:left w:val="nil"/>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1</w:t>
            </w:r>
          </w:p>
        </w:tc>
        <w:tc>
          <w:tcPr>
            <w:tcW w:w="799" w:type="pct"/>
            <w:tcBorders>
              <w:top w:val="single" w:color="auto" w:sz="4" w:space="0"/>
              <w:left w:val="nil"/>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 xml:space="preserve"> 指标1</w:t>
            </w:r>
          </w:p>
        </w:tc>
        <w:tc>
          <w:tcPr>
            <w:tcW w:w="846" w:type="pct"/>
            <w:tcBorders>
              <w:top w:val="single" w:color="auto" w:sz="4" w:space="0"/>
              <w:left w:val="nil"/>
              <w:bottom w:val="single" w:color="auto" w:sz="4" w:space="0"/>
              <w:right w:val="single" w:color="auto" w:sz="4" w:space="0"/>
            </w:tcBorders>
            <w:vAlign w:val="center"/>
          </w:tcPr>
          <w:p>
            <w:pPr>
              <w:jc w:val="center"/>
              <w:rPr>
                <w:rFonts w:hint="eastAsia" w:ascii="宋体" w:hAnsi="宋体"/>
                <w:bCs/>
              </w:rPr>
            </w:pPr>
          </w:p>
        </w:tc>
        <w:tc>
          <w:tcPr>
            <w:tcW w:w="662" w:type="pct"/>
            <w:tcBorders>
              <w:top w:val="single" w:color="auto" w:sz="4" w:space="0"/>
              <w:left w:val="nil"/>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nil"/>
              <w:bottom w:val="single" w:color="auto" w:sz="4" w:space="0"/>
              <w:right w:val="single" w:color="auto" w:sz="4" w:space="0"/>
            </w:tcBorders>
            <w:vAlign w:val="center"/>
          </w:tcPr>
          <w:p>
            <w:pPr>
              <w:jc w:val="center"/>
              <w:rPr>
                <w:bCs/>
              </w:rPr>
            </w:pPr>
          </w:p>
        </w:tc>
        <w:tc>
          <w:tcPr>
            <w:tcW w:w="1181" w:type="pct"/>
            <w:tcBorders>
              <w:top w:val="single" w:color="auto" w:sz="4" w:space="0"/>
              <w:left w:val="nil"/>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2</w:t>
            </w: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 xml:space="preserve"> 指标2</w:t>
            </w:r>
          </w:p>
        </w:tc>
        <w:tc>
          <w:tcPr>
            <w:tcW w:w="8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81" w:type="pct"/>
            <w:tcBorders>
              <w:top w:val="single" w:color="auto" w:sz="4" w:space="0"/>
              <w:left w:val="single" w:color="auto" w:sz="4" w:space="0"/>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3</w:t>
            </w: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指标3</w:t>
            </w:r>
          </w:p>
        </w:tc>
        <w:tc>
          <w:tcPr>
            <w:tcW w:w="8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81" w:type="pct"/>
            <w:tcBorders>
              <w:top w:val="single" w:color="auto" w:sz="4" w:space="0"/>
              <w:left w:val="single" w:color="auto" w:sz="4" w:space="0"/>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p>
        </w:tc>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r>
              <w:rPr>
                <w:rFonts w:hint="eastAsia" w:ascii="宋体" w:hAnsi="宋体"/>
                <w:bCs/>
              </w:rPr>
              <w:t>……</w:t>
            </w:r>
          </w:p>
        </w:tc>
        <w:tc>
          <w:tcPr>
            <w:tcW w:w="8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rPr>
            </w:pPr>
          </w:p>
        </w:tc>
        <w:tc>
          <w:tcPr>
            <w:tcW w:w="662"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993"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81" w:type="pct"/>
            <w:tcBorders>
              <w:top w:val="single" w:color="auto" w:sz="4" w:space="0"/>
              <w:left w:val="single" w:color="auto" w:sz="4" w:space="0"/>
              <w:bottom w:val="single" w:color="auto" w:sz="4" w:space="0"/>
              <w:right w:val="single" w:color="auto" w:sz="4" w:space="0"/>
            </w:tcBorders>
            <w:vAlign w:val="center"/>
          </w:tcPr>
          <w:p>
            <w:pPr>
              <w:jc w:val="center"/>
              <w:rPr>
                <w:bCs/>
              </w:rPr>
            </w:pPr>
          </w:p>
        </w:tc>
      </w:tr>
      <w:tr>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276" w:lineRule="auto"/>
              <w:rPr>
                <w:bCs/>
              </w:rPr>
            </w:pPr>
            <w:r>
              <w:rPr>
                <w:rFonts w:hint="eastAsia"/>
                <w:bCs/>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pPr>
        <w:pStyle w:val="8"/>
        <w:spacing w:after="120" w:afterLines="50"/>
        <w:rPr>
          <w:rFonts w:ascii="宋体" w:hAnsi="宋体"/>
          <w:b w:val="0"/>
        </w:rPr>
      </w:pPr>
      <w:r>
        <w:rPr>
          <w:bCs w:val="0"/>
        </w:rPr>
        <w:br w:type="page"/>
      </w:r>
      <w:bookmarkStart w:id="330" w:name="_Toc13088"/>
      <w:bookmarkStart w:id="331" w:name="_Toc31106"/>
      <w:bookmarkStart w:id="332" w:name="_Toc8024"/>
      <w:bookmarkStart w:id="333" w:name="_Toc20627"/>
      <w:r>
        <w:rPr>
          <w:rFonts w:hint="eastAsia"/>
          <w:b w:val="0"/>
        </w:rPr>
        <w:t>附件</w:t>
      </w:r>
      <w:r>
        <w:rPr>
          <w:b w:val="0"/>
        </w:rPr>
        <w:t xml:space="preserve">2-4 </w:t>
      </w:r>
      <w:r>
        <w:rPr>
          <w:rFonts w:hint="eastAsia"/>
          <w:b w:val="0"/>
        </w:rPr>
        <w:t>投标函</w:t>
      </w:r>
      <w:bookmarkEnd w:id="330"/>
      <w:bookmarkEnd w:id="331"/>
      <w:bookmarkEnd w:id="332"/>
      <w:bookmarkEnd w:id="333"/>
    </w:p>
    <w:p>
      <w:pPr>
        <w:spacing w:before="120" w:beforeLines="50" w:after="120" w:afterLines="50" w:line="560" w:lineRule="exact"/>
        <w:jc w:val="center"/>
        <w:rPr>
          <w:rFonts w:hint="eastAsia" w:ascii="黑体" w:hAnsi="黑体" w:eastAsia="黑体" w:cs="黑体"/>
          <w:bCs/>
          <w:sz w:val="36"/>
          <w:szCs w:val="36"/>
        </w:rPr>
      </w:pPr>
      <w:r>
        <w:rPr>
          <w:rFonts w:hint="eastAsia" w:ascii="黑体" w:hAnsi="黑体" w:eastAsia="黑体" w:cs="黑体"/>
          <w:bCs/>
          <w:sz w:val="36"/>
          <w:szCs w:val="36"/>
        </w:rPr>
        <w:t>投标函</w:t>
      </w:r>
    </w:p>
    <w:p>
      <w:pPr>
        <w:spacing w:line="560" w:lineRule="exact"/>
        <w:rPr>
          <w:rFonts w:hint="eastAsia" w:ascii="宋体" w:hAnsi="宋体"/>
          <w:bCs/>
          <w:sz w:val="28"/>
          <w:szCs w:val="28"/>
        </w:rPr>
      </w:pPr>
      <w:r>
        <w:rPr>
          <w:rFonts w:hint="eastAsia" w:asciiTheme="minorEastAsia" w:hAnsiTheme="minorEastAsia" w:eastAsiaTheme="minorEastAsia"/>
          <w:bCs/>
          <w:sz w:val="28"/>
          <w:szCs w:val="28"/>
          <w:u w:val="single"/>
        </w:rPr>
        <w:t>（采购机构名称）</w:t>
      </w:r>
      <w:r>
        <w:rPr>
          <w:rFonts w:hint="eastAsia" w:ascii="宋体" w:hAnsi="宋体"/>
          <w:bCs/>
          <w:sz w:val="28"/>
          <w:szCs w:val="28"/>
        </w:rPr>
        <w:t>：</w:t>
      </w:r>
    </w:p>
    <w:p>
      <w:pPr>
        <w:spacing w:line="560" w:lineRule="exact"/>
        <w:ind w:firstLine="560" w:firstLineChars="200"/>
        <w:rPr>
          <w:rFonts w:hint="eastAsia" w:ascii="宋体" w:hAnsi="宋体"/>
          <w:bCs/>
          <w:sz w:val="28"/>
          <w:szCs w:val="28"/>
        </w:rPr>
      </w:pPr>
      <w:r>
        <w:rPr>
          <w:rFonts w:hint="eastAsia" w:ascii="宋体" w:hAnsi="宋体"/>
          <w:bCs/>
          <w:sz w:val="28"/>
          <w:szCs w:val="28"/>
        </w:rPr>
        <w:t>我方参加贵部组织的</w:t>
      </w:r>
      <w:r>
        <w:rPr>
          <w:rFonts w:hint="eastAsia" w:ascii="宋体" w:hAnsi="宋体"/>
          <w:bCs/>
          <w:sz w:val="28"/>
          <w:szCs w:val="28"/>
          <w:u w:val="single"/>
        </w:rPr>
        <w:t>（项目编号和项目名称）</w:t>
      </w:r>
      <w:r>
        <w:rPr>
          <w:rFonts w:hint="eastAsia" w:ascii="宋体" w:hAnsi="宋体"/>
          <w:bCs/>
          <w:sz w:val="28"/>
          <w:szCs w:val="28"/>
        </w:rPr>
        <w:t>招标采购活动，并对</w:t>
      </w:r>
      <w:r>
        <w:rPr>
          <w:rFonts w:hint="eastAsia" w:ascii="宋体" w:hAnsi="宋体"/>
          <w:bCs/>
          <w:sz w:val="28"/>
          <w:szCs w:val="28"/>
          <w:u w:val="single"/>
        </w:rPr>
        <w:t>（包号或物资名称）</w:t>
      </w:r>
      <w:r>
        <w:rPr>
          <w:rFonts w:hint="eastAsia" w:ascii="宋体" w:hAnsi="宋体"/>
          <w:bCs/>
          <w:sz w:val="28"/>
          <w:szCs w:val="28"/>
        </w:rPr>
        <w:t>进行投标。</w:t>
      </w:r>
    </w:p>
    <w:p>
      <w:pPr>
        <w:tabs>
          <w:tab w:val="left" w:pos="1020"/>
        </w:tabs>
        <w:spacing w:line="560" w:lineRule="exact"/>
        <w:ind w:firstLine="560" w:firstLineChars="200"/>
        <w:rPr>
          <w:rFonts w:hint="eastAsia" w:ascii="宋体" w:hAnsi="宋体"/>
          <w:bCs/>
          <w:sz w:val="28"/>
          <w:szCs w:val="28"/>
        </w:rPr>
      </w:pPr>
      <w:r>
        <w:rPr>
          <w:rFonts w:hint="eastAsia" w:ascii="宋体" w:hAnsi="宋体"/>
          <w:bCs/>
          <w:sz w:val="28"/>
          <w:szCs w:val="28"/>
        </w:rPr>
        <w:t>一、按照招标文件要求提交</w:t>
      </w:r>
      <w:r>
        <w:rPr>
          <w:rFonts w:hint="eastAsia" w:ascii="宋体" w:hAnsi="宋体"/>
          <w:bCs/>
          <w:sz w:val="28"/>
          <w:szCs w:val="28"/>
          <w:lang w:val="zh-CN"/>
        </w:rPr>
        <w:t>投标文件正本</w:t>
      </w:r>
      <w:r>
        <w:rPr>
          <w:rFonts w:hint="eastAsia" w:ascii="宋体" w:hAnsi="宋体"/>
          <w:bCs/>
          <w:sz w:val="28"/>
          <w:szCs w:val="28"/>
          <w:u w:val="single"/>
          <w:lang w:val="zh-CN"/>
        </w:rPr>
        <w:t xml:space="preserve">   </w:t>
      </w:r>
      <w:r>
        <w:rPr>
          <w:rFonts w:hint="eastAsia" w:ascii="宋体" w:hAnsi="宋体"/>
          <w:bCs/>
          <w:sz w:val="28"/>
          <w:szCs w:val="28"/>
          <w:lang w:val="zh-CN"/>
        </w:rPr>
        <w:t>份和副本</w:t>
      </w:r>
      <w:r>
        <w:rPr>
          <w:rFonts w:hint="eastAsia" w:ascii="宋体" w:hAnsi="宋体"/>
          <w:bCs/>
          <w:sz w:val="28"/>
          <w:szCs w:val="28"/>
          <w:u w:val="single"/>
          <w:lang w:val="zh-CN"/>
        </w:rPr>
        <w:t xml:space="preserve">   </w:t>
      </w:r>
      <w:r>
        <w:rPr>
          <w:rFonts w:hint="eastAsia" w:ascii="宋体" w:hAnsi="宋体"/>
          <w:bCs/>
          <w:sz w:val="28"/>
          <w:szCs w:val="28"/>
          <w:lang w:val="zh-CN"/>
        </w:rPr>
        <w:t>份</w:t>
      </w:r>
      <w:r>
        <w:rPr>
          <w:rFonts w:hint="eastAsia" w:ascii="宋体" w:hAnsi="宋体"/>
          <w:bCs/>
          <w:sz w:val="28"/>
          <w:szCs w:val="28"/>
        </w:rPr>
        <w:t>，电子版投标文件</w:t>
      </w:r>
      <w:r>
        <w:rPr>
          <w:rFonts w:hint="eastAsia" w:ascii="宋体" w:hAnsi="宋体"/>
          <w:bCs/>
          <w:sz w:val="28"/>
          <w:szCs w:val="28"/>
          <w:u w:val="single"/>
        </w:rPr>
        <w:t xml:space="preserve">   </w:t>
      </w:r>
      <w:r>
        <w:rPr>
          <w:rFonts w:hint="eastAsia" w:ascii="宋体" w:hAnsi="宋体"/>
          <w:bCs/>
          <w:sz w:val="28"/>
          <w:szCs w:val="28"/>
        </w:rPr>
        <w:t>份。其中，“价格文件”</w:t>
      </w:r>
      <w:r>
        <w:rPr>
          <w:rFonts w:hint="eastAsia" w:ascii="宋体" w:hAnsi="宋体"/>
          <w:bCs/>
          <w:sz w:val="28"/>
          <w:szCs w:val="28"/>
          <w:u w:val="single"/>
        </w:rPr>
        <w:t xml:space="preserve">    </w:t>
      </w:r>
      <w:r>
        <w:rPr>
          <w:rFonts w:hint="eastAsia" w:ascii="宋体" w:hAnsi="宋体"/>
          <w:bCs/>
          <w:sz w:val="28"/>
          <w:szCs w:val="28"/>
        </w:rPr>
        <w:t>份单独密封提交。</w:t>
      </w:r>
    </w:p>
    <w:p>
      <w:pPr>
        <w:tabs>
          <w:tab w:val="left" w:pos="1020"/>
        </w:tabs>
        <w:spacing w:line="560" w:lineRule="exact"/>
        <w:ind w:firstLine="560" w:firstLineChars="200"/>
        <w:rPr>
          <w:rFonts w:hint="eastAsia" w:ascii="宋体" w:hAnsi="宋体"/>
          <w:bCs/>
          <w:sz w:val="28"/>
          <w:szCs w:val="28"/>
        </w:rPr>
      </w:pPr>
      <w:r>
        <w:rPr>
          <w:rFonts w:hint="eastAsia" w:ascii="宋体" w:hAnsi="宋体"/>
          <w:bCs/>
          <w:sz w:val="28"/>
          <w:szCs w:val="28"/>
          <w:lang w:val="zh-CN"/>
        </w:rPr>
        <w:t>二、我方已完全理解招标文件的全部内容，自愿接受并执行招标文件的全部条款</w:t>
      </w:r>
      <w:r>
        <w:rPr>
          <w:rFonts w:hint="eastAsia" w:ascii="宋体" w:hAnsi="宋体"/>
          <w:bCs/>
          <w:sz w:val="28"/>
          <w:szCs w:val="28"/>
        </w:rPr>
        <w:t>。</w:t>
      </w:r>
    </w:p>
    <w:p>
      <w:pPr>
        <w:tabs>
          <w:tab w:val="left" w:pos="1020"/>
        </w:tabs>
        <w:spacing w:line="560" w:lineRule="exact"/>
        <w:ind w:firstLine="560" w:firstLineChars="200"/>
        <w:rPr>
          <w:rFonts w:hint="eastAsia" w:ascii="宋体" w:hAnsi="宋体"/>
          <w:bCs/>
          <w:sz w:val="28"/>
          <w:szCs w:val="28"/>
        </w:rPr>
      </w:pPr>
      <w:r>
        <w:rPr>
          <w:rFonts w:hint="eastAsia" w:ascii="宋体" w:hAnsi="宋体"/>
          <w:bCs/>
          <w:sz w:val="28"/>
          <w:szCs w:val="28"/>
        </w:rPr>
        <w:t>三、本投标</w:t>
      </w:r>
      <w:r>
        <w:rPr>
          <w:rFonts w:hint="eastAsia" w:ascii="宋体" w:hAnsi="宋体"/>
          <w:bCs/>
          <w:sz w:val="28"/>
          <w:szCs w:val="28"/>
          <w:lang w:val="zh-CN"/>
        </w:rPr>
        <w:t>有效期自提交投标文件的截止之日起</w:t>
      </w:r>
      <w:r>
        <w:rPr>
          <w:rFonts w:hint="eastAsia" w:ascii="宋体" w:hAnsi="宋体"/>
          <w:bCs/>
          <w:sz w:val="28"/>
          <w:szCs w:val="28"/>
          <w:u w:val="single"/>
          <w:lang w:val="zh-CN"/>
        </w:rPr>
        <w:t xml:space="preserve">     </w:t>
      </w:r>
      <w:r>
        <w:rPr>
          <w:rFonts w:hint="eastAsia" w:ascii="宋体" w:hAnsi="宋体"/>
          <w:bCs/>
          <w:sz w:val="28"/>
          <w:szCs w:val="28"/>
          <w:lang w:val="zh-CN"/>
        </w:rPr>
        <w:t>日内有效</w:t>
      </w:r>
      <w:r>
        <w:rPr>
          <w:rFonts w:hint="eastAsia" w:ascii="宋体" w:hAnsi="宋体"/>
          <w:bCs/>
          <w:sz w:val="28"/>
          <w:szCs w:val="28"/>
        </w:rPr>
        <w:t>。</w:t>
      </w:r>
    </w:p>
    <w:p>
      <w:pPr>
        <w:tabs>
          <w:tab w:val="left" w:pos="1020"/>
        </w:tabs>
        <w:spacing w:line="560" w:lineRule="exact"/>
        <w:ind w:firstLine="560" w:firstLineChars="200"/>
        <w:rPr>
          <w:rFonts w:hint="eastAsia" w:ascii="宋体" w:hAnsi="宋体" w:cs="宋体"/>
          <w:bCs/>
          <w:snapToGrid w:val="0"/>
          <w:sz w:val="28"/>
          <w:szCs w:val="28"/>
          <w:lang w:val="zh-CN"/>
        </w:rPr>
      </w:pPr>
      <w:r>
        <w:rPr>
          <w:rFonts w:hint="eastAsia" w:ascii="宋体" w:hAnsi="宋体"/>
          <w:bCs/>
          <w:snapToGrid w:val="0"/>
          <w:sz w:val="28"/>
          <w:szCs w:val="28"/>
          <w:lang w:val="zh-CN"/>
        </w:rPr>
        <w:t>四、我方在参与投标前已仔细研究了招标文件和所有相关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pPr>
        <w:tabs>
          <w:tab w:val="left" w:pos="1020"/>
        </w:tabs>
        <w:spacing w:line="560" w:lineRule="exact"/>
        <w:ind w:firstLine="560" w:firstLineChars="200"/>
        <w:rPr>
          <w:rFonts w:hint="eastAsia" w:ascii="宋体" w:hAnsi="宋体"/>
          <w:bCs/>
          <w:sz w:val="28"/>
          <w:szCs w:val="28"/>
        </w:rPr>
      </w:pPr>
      <w:r>
        <w:rPr>
          <w:rFonts w:hint="eastAsia" w:ascii="宋体" w:hAnsi="宋体"/>
          <w:bCs/>
          <w:sz w:val="28"/>
          <w:szCs w:val="28"/>
        </w:rPr>
        <w:t>五、我方声明提供的投标文件及一切材料和承诺均真实有效。由于我方提供材料不实而造成的责任和后果由我方承担。我方同意按照贵部要求，提供与招标有关数据或信息。我方承诺完全按照投标文件有关内容履约。</w:t>
      </w:r>
    </w:p>
    <w:p>
      <w:pPr>
        <w:tabs>
          <w:tab w:val="left" w:pos="1020"/>
        </w:tabs>
        <w:spacing w:line="560" w:lineRule="exact"/>
        <w:ind w:firstLine="560" w:firstLineChars="200"/>
        <w:rPr>
          <w:rFonts w:hint="eastAsia" w:ascii="宋体" w:hAnsi="宋体"/>
          <w:bCs/>
          <w:sz w:val="28"/>
          <w:szCs w:val="28"/>
        </w:rPr>
      </w:pPr>
      <w:r>
        <w:rPr>
          <w:rFonts w:hint="eastAsia" w:ascii="宋体" w:hAnsi="宋体"/>
          <w:bCs/>
          <w:sz w:val="28"/>
          <w:szCs w:val="28"/>
        </w:rPr>
        <w:t>六、我方承诺自愿遵守、执行军队采购政策法规。</w:t>
      </w:r>
    </w:p>
    <w:p>
      <w:pPr>
        <w:tabs>
          <w:tab w:val="left" w:pos="1020"/>
        </w:tabs>
        <w:spacing w:line="560" w:lineRule="exact"/>
        <w:ind w:firstLine="560" w:firstLineChars="200"/>
        <w:rPr>
          <w:rFonts w:hint="eastAsia" w:ascii="宋体" w:hAnsi="宋体"/>
          <w:bCs/>
          <w:sz w:val="28"/>
          <w:szCs w:val="28"/>
        </w:rPr>
      </w:pPr>
      <w:r>
        <w:rPr>
          <w:rFonts w:hint="eastAsia" w:ascii="宋体" w:hAnsi="宋体"/>
          <w:bCs/>
          <w:sz w:val="28"/>
          <w:szCs w:val="28"/>
        </w:rPr>
        <w:t>七、联系方式</w:t>
      </w:r>
    </w:p>
    <w:p>
      <w:pPr>
        <w:spacing w:line="440" w:lineRule="exact"/>
        <w:ind w:firstLine="560" w:firstLineChars="200"/>
        <w:rPr>
          <w:rFonts w:hint="eastAsia" w:ascii="宋体" w:hAnsi="宋体"/>
          <w:bCs/>
          <w:sz w:val="28"/>
          <w:szCs w:val="28"/>
        </w:rPr>
      </w:pPr>
      <w:r>
        <w:rPr>
          <w:rFonts w:hint="eastAsia" w:ascii="宋体" w:hAnsi="宋体"/>
          <w:bCs/>
          <w:sz w:val="28"/>
          <w:szCs w:val="28"/>
        </w:rPr>
        <w:t>联 系 人：</w:t>
      </w:r>
      <w:r>
        <w:rPr>
          <w:rFonts w:hint="eastAsia" w:ascii="宋体" w:hAnsi="宋体"/>
          <w:bCs/>
          <w:sz w:val="28"/>
          <w:szCs w:val="28"/>
          <w:u w:val="single"/>
        </w:rPr>
        <w:t xml:space="preserve">        </w:t>
      </w:r>
      <w:r>
        <w:rPr>
          <w:rFonts w:hint="eastAsia" w:ascii="宋体" w:hAnsi="宋体"/>
          <w:bCs/>
          <w:sz w:val="28"/>
          <w:szCs w:val="28"/>
        </w:rPr>
        <w:t xml:space="preserve">  电话：</w:t>
      </w:r>
      <w:r>
        <w:rPr>
          <w:rFonts w:hint="eastAsia" w:ascii="宋体" w:hAnsi="宋体"/>
          <w:bCs/>
          <w:sz w:val="28"/>
          <w:szCs w:val="28"/>
          <w:u w:val="single"/>
        </w:rPr>
        <w:t xml:space="preserve">        </w:t>
      </w:r>
      <w:r>
        <w:rPr>
          <w:rFonts w:hint="eastAsia" w:ascii="宋体" w:hAnsi="宋体"/>
          <w:bCs/>
          <w:sz w:val="28"/>
          <w:szCs w:val="28"/>
        </w:rPr>
        <w:t>传真：</w:t>
      </w:r>
      <w:r>
        <w:rPr>
          <w:rFonts w:hint="eastAsia" w:ascii="宋体" w:hAnsi="宋体"/>
          <w:bCs/>
          <w:sz w:val="28"/>
          <w:szCs w:val="28"/>
          <w:u w:val="single"/>
        </w:rPr>
        <w:t xml:space="preserve">        </w:t>
      </w:r>
    </w:p>
    <w:p>
      <w:pPr>
        <w:spacing w:line="440" w:lineRule="exact"/>
        <w:ind w:firstLine="560" w:firstLineChars="200"/>
        <w:rPr>
          <w:rFonts w:hint="eastAsia" w:ascii="宋体" w:hAnsi="宋体"/>
          <w:bCs/>
          <w:sz w:val="28"/>
          <w:szCs w:val="28"/>
        </w:rPr>
      </w:pPr>
      <w:r>
        <w:rPr>
          <w:rFonts w:hint="eastAsia" w:ascii="宋体" w:hAnsi="宋体"/>
          <w:bCs/>
          <w:sz w:val="28"/>
          <w:szCs w:val="28"/>
        </w:rPr>
        <w:t>地    址：</w:t>
      </w:r>
      <w:r>
        <w:rPr>
          <w:rFonts w:hint="eastAsia" w:ascii="宋体" w:hAnsi="宋体"/>
          <w:bCs/>
          <w:sz w:val="28"/>
          <w:szCs w:val="28"/>
          <w:u w:val="single"/>
        </w:rPr>
        <w:t xml:space="preserve">                  </w:t>
      </w:r>
      <w:r>
        <w:rPr>
          <w:rFonts w:hint="eastAsia" w:ascii="宋体" w:hAnsi="宋体"/>
          <w:bCs/>
          <w:sz w:val="28"/>
          <w:szCs w:val="28"/>
        </w:rPr>
        <w:t xml:space="preserve">  邮政编码：</w:t>
      </w:r>
      <w:r>
        <w:rPr>
          <w:rFonts w:hint="eastAsia" w:ascii="宋体" w:hAnsi="宋体"/>
          <w:bCs/>
          <w:sz w:val="28"/>
          <w:szCs w:val="28"/>
          <w:u w:val="single"/>
        </w:rPr>
        <w:t xml:space="preserve">        </w:t>
      </w:r>
    </w:p>
    <w:p>
      <w:pPr>
        <w:spacing w:line="440" w:lineRule="exact"/>
        <w:ind w:firstLine="560" w:firstLineChars="200"/>
        <w:rPr>
          <w:rFonts w:hint="eastAsia" w:ascii="宋体" w:hAnsi="宋体"/>
          <w:bCs/>
          <w:sz w:val="28"/>
          <w:szCs w:val="28"/>
        </w:rPr>
      </w:pPr>
      <w:r>
        <w:rPr>
          <w:rFonts w:hint="eastAsia" w:ascii="宋体" w:hAnsi="宋体"/>
          <w:bCs/>
          <w:sz w:val="28"/>
          <w:szCs w:val="28"/>
        </w:rPr>
        <w:t>开户名称：</w:t>
      </w:r>
      <w:r>
        <w:rPr>
          <w:rFonts w:hint="eastAsia" w:ascii="宋体" w:hAnsi="宋体"/>
          <w:bCs/>
          <w:sz w:val="28"/>
          <w:szCs w:val="28"/>
          <w:u w:val="single"/>
        </w:rPr>
        <w:t xml:space="preserve">                  </w:t>
      </w:r>
    </w:p>
    <w:p>
      <w:pPr>
        <w:spacing w:line="440" w:lineRule="exact"/>
        <w:ind w:firstLine="560" w:firstLineChars="200"/>
        <w:rPr>
          <w:rFonts w:hint="eastAsia" w:ascii="宋体" w:hAnsi="宋体"/>
          <w:bCs/>
          <w:sz w:val="28"/>
          <w:szCs w:val="28"/>
        </w:rPr>
      </w:pPr>
      <w:r>
        <w:rPr>
          <w:rFonts w:hint="eastAsia" w:ascii="宋体" w:hAnsi="宋体"/>
          <w:bCs/>
          <w:sz w:val="28"/>
          <w:szCs w:val="28"/>
        </w:rPr>
        <w:t>开户银行：</w:t>
      </w:r>
      <w:r>
        <w:rPr>
          <w:rFonts w:hint="eastAsia" w:ascii="宋体" w:hAnsi="宋体"/>
          <w:bCs/>
          <w:sz w:val="28"/>
          <w:szCs w:val="28"/>
          <w:u w:val="single"/>
        </w:rPr>
        <w:t xml:space="preserve">                  </w:t>
      </w:r>
      <w:r>
        <w:rPr>
          <w:rFonts w:hint="eastAsia" w:ascii="宋体" w:hAnsi="宋体"/>
          <w:bCs/>
          <w:sz w:val="28"/>
          <w:szCs w:val="28"/>
        </w:rPr>
        <w:t xml:space="preserve">                       </w:t>
      </w:r>
    </w:p>
    <w:p>
      <w:pPr>
        <w:spacing w:line="440" w:lineRule="exact"/>
        <w:ind w:firstLine="560" w:firstLineChars="200"/>
        <w:rPr>
          <w:rFonts w:hint="eastAsia"/>
          <w:bCs/>
          <w:sz w:val="28"/>
          <w:szCs w:val="28"/>
        </w:rPr>
      </w:pPr>
      <w:r>
        <w:rPr>
          <w:rFonts w:hint="eastAsia" w:ascii="宋体" w:hAnsi="宋体"/>
          <w:bCs/>
          <w:sz w:val="28"/>
          <w:szCs w:val="28"/>
        </w:rPr>
        <w:t>银行账号：</w:t>
      </w:r>
      <w:r>
        <w:rPr>
          <w:rFonts w:hint="eastAsia" w:ascii="宋体" w:hAnsi="宋体"/>
          <w:bCs/>
          <w:sz w:val="28"/>
          <w:szCs w:val="28"/>
          <w:u w:val="single"/>
        </w:rPr>
        <w:t xml:space="preserve">                  </w:t>
      </w:r>
      <w:r>
        <w:rPr>
          <w:rFonts w:hint="eastAsia" w:ascii="宋体" w:hAnsi="宋体"/>
          <w:bCs/>
          <w:sz w:val="28"/>
          <w:szCs w:val="28"/>
        </w:rPr>
        <w:t xml:space="preserve">                        </w:t>
      </w:r>
    </w:p>
    <w:p>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pPr>
        <w:spacing w:line="440" w:lineRule="exact"/>
        <w:ind w:firstLine="560" w:firstLineChars="200"/>
        <w:rPr>
          <w:bCs/>
          <w:sz w:val="28"/>
          <w:szCs w:val="28"/>
          <w:lang w:val="zh-CN"/>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pStyle w:val="8"/>
        <w:spacing w:before="120" w:beforeLines="50" w:after="120" w:afterLines="50"/>
        <w:rPr>
          <w:rFonts w:ascii="宋体" w:hAnsi="宋体"/>
          <w:b w:val="0"/>
        </w:rPr>
      </w:pPr>
      <w:r>
        <w:rPr>
          <w:bCs w:val="0"/>
          <w:lang w:val="zh-CN"/>
        </w:rPr>
        <w:br w:type="page"/>
      </w:r>
      <w:bookmarkStart w:id="334" w:name="_Toc14250"/>
      <w:bookmarkStart w:id="335" w:name="_Toc27776"/>
      <w:bookmarkStart w:id="336" w:name="_Toc2085"/>
      <w:bookmarkStart w:id="337" w:name="_Toc28802"/>
      <w:r>
        <w:rPr>
          <w:rFonts w:hint="eastAsia"/>
          <w:b w:val="0"/>
        </w:rPr>
        <w:t>附件</w:t>
      </w:r>
      <w:r>
        <w:rPr>
          <w:b w:val="0"/>
        </w:rPr>
        <w:t>2-5</w:t>
      </w:r>
      <w:r>
        <w:rPr>
          <w:rFonts w:hint="eastAsia"/>
          <w:b w:val="0"/>
        </w:rPr>
        <w:t>商务条款响应偏离表</w:t>
      </w:r>
    </w:p>
    <w:p>
      <w:pPr>
        <w:spacing w:before="120" w:beforeLines="50" w:after="120" w:afterLines="50" w:line="560" w:lineRule="exact"/>
        <w:jc w:val="center"/>
        <w:rPr>
          <w:rFonts w:hint="eastAsia" w:ascii="黑体" w:hAnsi="黑体" w:eastAsia="黑体"/>
          <w:bCs/>
          <w:sz w:val="36"/>
          <w:szCs w:val="36"/>
          <w:lang w:val="zh-CN"/>
        </w:rPr>
      </w:pPr>
      <w:r>
        <w:rPr>
          <w:rFonts w:hint="eastAsia" w:ascii="黑体" w:hAnsi="黑体" w:eastAsia="黑体"/>
          <w:bCs/>
          <w:sz w:val="36"/>
          <w:szCs w:val="36"/>
          <w:lang w:val="zh-CN"/>
        </w:rPr>
        <w:t>商务条款响应偏离表</w:t>
      </w:r>
    </w:p>
    <w:p>
      <w:pPr>
        <w:spacing w:line="560" w:lineRule="exact"/>
        <w:jc w:val="left"/>
        <w:rPr>
          <w:rFonts w:hint="eastAsia"/>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5"/>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7"/>
        <w:gridCol w:w="1482"/>
        <w:gridCol w:w="1234"/>
        <w:gridCol w:w="1398"/>
        <w:gridCol w:w="235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评审项目</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商务评审</w:t>
            </w:r>
          </w:p>
          <w:p>
            <w:pPr>
              <w:widowControl/>
              <w:jc w:val="center"/>
              <w:rPr>
                <w:bCs/>
              </w:rPr>
            </w:pPr>
            <w:r>
              <w:rPr>
                <w:rFonts w:hint="eastAsia"/>
                <w:bCs/>
              </w:rPr>
              <w:t>要求</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商务响应</w:t>
            </w:r>
          </w:p>
        </w:tc>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偏离度</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文件名称</w:t>
            </w:r>
            <w:r>
              <w:rPr>
                <w:rFonts w:hint="eastAsia" w:ascii="宋体" w:hAnsi="宋体"/>
                <w:bCs/>
              </w:rPr>
              <w:t>∕页码</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481" w:type="dxa"/>
            <w:tcBorders>
              <w:top w:val="single" w:color="auto" w:sz="4" w:space="0"/>
              <w:left w:val="single" w:color="auto" w:sz="4" w:space="0"/>
              <w:bottom w:val="single" w:color="auto" w:sz="4" w:space="0"/>
              <w:right w:val="single" w:color="auto" w:sz="4" w:space="0"/>
            </w:tcBorders>
          </w:tcPr>
          <w:p>
            <w:pPr>
              <w:rPr>
                <w:bCs/>
              </w:rPr>
            </w:pPr>
          </w:p>
        </w:tc>
        <w:tc>
          <w:tcPr>
            <w:tcW w:w="1233" w:type="dxa"/>
            <w:tcBorders>
              <w:top w:val="single" w:color="auto" w:sz="4" w:space="0"/>
              <w:left w:val="single" w:color="auto" w:sz="4" w:space="0"/>
              <w:bottom w:val="single" w:color="auto" w:sz="4" w:space="0"/>
              <w:right w:val="single" w:color="auto" w:sz="4" w:space="0"/>
            </w:tcBorders>
          </w:tcPr>
          <w:p>
            <w:pPr>
              <w:rPr>
                <w:bCs/>
              </w:rPr>
            </w:pPr>
          </w:p>
        </w:tc>
        <w:tc>
          <w:tcPr>
            <w:tcW w:w="1397" w:type="dxa"/>
            <w:tcBorders>
              <w:top w:val="single" w:color="auto" w:sz="4" w:space="0"/>
              <w:left w:val="single" w:color="auto" w:sz="4" w:space="0"/>
              <w:bottom w:val="single" w:color="auto" w:sz="4" w:space="0"/>
              <w:right w:val="single" w:color="auto" w:sz="4" w:space="0"/>
            </w:tcBorders>
          </w:tcPr>
          <w:p>
            <w:pPr>
              <w:rPr>
                <w:bCs/>
              </w:rPr>
            </w:pPr>
          </w:p>
        </w:tc>
        <w:tc>
          <w:tcPr>
            <w:tcW w:w="2356" w:type="dxa"/>
            <w:tcBorders>
              <w:top w:val="single" w:color="auto" w:sz="4" w:space="0"/>
              <w:left w:val="single" w:color="auto" w:sz="4" w:space="0"/>
              <w:bottom w:val="single" w:color="auto" w:sz="4" w:space="0"/>
              <w:right w:val="single" w:color="auto" w:sz="4" w:space="0"/>
            </w:tcBorders>
          </w:tcPr>
          <w:p>
            <w:pPr>
              <w:rPr>
                <w:bCs/>
              </w:rPr>
            </w:pPr>
          </w:p>
        </w:tc>
        <w:tc>
          <w:tcPr>
            <w:tcW w:w="90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481" w:type="dxa"/>
            <w:tcBorders>
              <w:top w:val="single" w:color="auto" w:sz="4" w:space="0"/>
              <w:left w:val="single" w:color="auto" w:sz="4" w:space="0"/>
              <w:bottom w:val="single" w:color="auto" w:sz="4" w:space="0"/>
              <w:right w:val="single" w:color="auto" w:sz="4" w:space="0"/>
            </w:tcBorders>
          </w:tcPr>
          <w:p>
            <w:pPr>
              <w:rPr>
                <w:bCs/>
              </w:rPr>
            </w:pPr>
          </w:p>
        </w:tc>
        <w:tc>
          <w:tcPr>
            <w:tcW w:w="1233" w:type="dxa"/>
            <w:tcBorders>
              <w:top w:val="single" w:color="auto" w:sz="4" w:space="0"/>
              <w:left w:val="single" w:color="auto" w:sz="4" w:space="0"/>
              <w:bottom w:val="single" w:color="auto" w:sz="4" w:space="0"/>
              <w:right w:val="single" w:color="auto" w:sz="4" w:space="0"/>
            </w:tcBorders>
          </w:tcPr>
          <w:p>
            <w:pPr>
              <w:rPr>
                <w:bCs/>
              </w:rPr>
            </w:pPr>
          </w:p>
        </w:tc>
        <w:tc>
          <w:tcPr>
            <w:tcW w:w="1397" w:type="dxa"/>
            <w:tcBorders>
              <w:top w:val="single" w:color="auto" w:sz="4" w:space="0"/>
              <w:left w:val="single" w:color="auto" w:sz="4" w:space="0"/>
              <w:bottom w:val="single" w:color="auto" w:sz="4" w:space="0"/>
              <w:right w:val="single" w:color="auto" w:sz="4" w:space="0"/>
            </w:tcBorders>
          </w:tcPr>
          <w:p>
            <w:pPr>
              <w:rPr>
                <w:bCs/>
              </w:rPr>
            </w:pPr>
          </w:p>
        </w:tc>
        <w:tc>
          <w:tcPr>
            <w:tcW w:w="2356" w:type="dxa"/>
            <w:tcBorders>
              <w:top w:val="single" w:color="auto" w:sz="4" w:space="0"/>
              <w:left w:val="single" w:color="auto" w:sz="4" w:space="0"/>
              <w:bottom w:val="single" w:color="auto" w:sz="4" w:space="0"/>
              <w:right w:val="single" w:color="auto" w:sz="4" w:space="0"/>
            </w:tcBorders>
          </w:tcPr>
          <w:p>
            <w:pPr>
              <w:rPr>
                <w:bCs/>
              </w:rPr>
            </w:pPr>
          </w:p>
        </w:tc>
        <w:tc>
          <w:tcPr>
            <w:tcW w:w="90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481" w:type="dxa"/>
            <w:tcBorders>
              <w:top w:val="single" w:color="auto" w:sz="4" w:space="0"/>
              <w:left w:val="single" w:color="auto" w:sz="4" w:space="0"/>
              <w:bottom w:val="single" w:color="auto" w:sz="4" w:space="0"/>
              <w:right w:val="single" w:color="auto" w:sz="4" w:space="0"/>
            </w:tcBorders>
          </w:tcPr>
          <w:p>
            <w:pPr>
              <w:rPr>
                <w:bCs/>
              </w:rPr>
            </w:pPr>
          </w:p>
        </w:tc>
        <w:tc>
          <w:tcPr>
            <w:tcW w:w="1233" w:type="dxa"/>
            <w:tcBorders>
              <w:top w:val="single" w:color="auto" w:sz="4" w:space="0"/>
              <w:left w:val="single" w:color="auto" w:sz="4" w:space="0"/>
              <w:bottom w:val="single" w:color="auto" w:sz="4" w:space="0"/>
              <w:right w:val="single" w:color="auto" w:sz="4" w:space="0"/>
            </w:tcBorders>
          </w:tcPr>
          <w:p>
            <w:pPr>
              <w:rPr>
                <w:bCs/>
              </w:rPr>
            </w:pPr>
          </w:p>
        </w:tc>
        <w:tc>
          <w:tcPr>
            <w:tcW w:w="1397" w:type="dxa"/>
            <w:tcBorders>
              <w:top w:val="single" w:color="auto" w:sz="4" w:space="0"/>
              <w:left w:val="single" w:color="auto" w:sz="4" w:space="0"/>
              <w:bottom w:val="single" w:color="auto" w:sz="4" w:space="0"/>
              <w:right w:val="single" w:color="auto" w:sz="4" w:space="0"/>
            </w:tcBorders>
          </w:tcPr>
          <w:p>
            <w:pPr>
              <w:rPr>
                <w:bCs/>
              </w:rPr>
            </w:pPr>
          </w:p>
        </w:tc>
        <w:tc>
          <w:tcPr>
            <w:tcW w:w="2356" w:type="dxa"/>
            <w:tcBorders>
              <w:top w:val="single" w:color="auto" w:sz="4" w:space="0"/>
              <w:left w:val="single" w:color="auto" w:sz="4" w:space="0"/>
              <w:bottom w:val="single" w:color="auto" w:sz="4" w:space="0"/>
              <w:right w:val="single" w:color="auto" w:sz="4" w:space="0"/>
            </w:tcBorders>
          </w:tcPr>
          <w:p>
            <w:pPr>
              <w:rPr>
                <w:bCs/>
              </w:rPr>
            </w:pPr>
          </w:p>
        </w:tc>
        <w:tc>
          <w:tcPr>
            <w:tcW w:w="90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481" w:type="dxa"/>
            <w:tcBorders>
              <w:top w:val="single" w:color="auto" w:sz="4" w:space="0"/>
              <w:left w:val="single" w:color="auto" w:sz="4" w:space="0"/>
              <w:bottom w:val="single" w:color="auto" w:sz="4" w:space="0"/>
              <w:right w:val="single" w:color="auto" w:sz="4" w:space="0"/>
            </w:tcBorders>
          </w:tcPr>
          <w:p>
            <w:pPr>
              <w:rPr>
                <w:bCs/>
              </w:rPr>
            </w:pPr>
          </w:p>
        </w:tc>
        <w:tc>
          <w:tcPr>
            <w:tcW w:w="1233" w:type="dxa"/>
            <w:tcBorders>
              <w:top w:val="single" w:color="auto" w:sz="4" w:space="0"/>
              <w:left w:val="single" w:color="auto" w:sz="4" w:space="0"/>
              <w:bottom w:val="single" w:color="auto" w:sz="4" w:space="0"/>
              <w:right w:val="single" w:color="auto" w:sz="4" w:space="0"/>
            </w:tcBorders>
          </w:tcPr>
          <w:p>
            <w:pPr>
              <w:rPr>
                <w:bCs/>
              </w:rPr>
            </w:pPr>
          </w:p>
        </w:tc>
        <w:tc>
          <w:tcPr>
            <w:tcW w:w="1397" w:type="dxa"/>
            <w:tcBorders>
              <w:top w:val="single" w:color="auto" w:sz="4" w:space="0"/>
              <w:left w:val="single" w:color="auto" w:sz="4" w:space="0"/>
              <w:bottom w:val="single" w:color="auto" w:sz="4" w:space="0"/>
              <w:right w:val="single" w:color="auto" w:sz="4" w:space="0"/>
            </w:tcBorders>
          </w:tcPr>
          <w:p>
            <w:pPr>
              <w:rPr>
                <w:bCs/>
              </w:rPr>
            </w:pPr>
          </w:p>
        </w:tc>
        <w:tc>
          <w:tcPr>
            <w:tcW w:w="2356" w:type="dxa"/>
            <w:tcBorders>
              <w:top w:val="single" w:color="auto" w:sz="4" w:space="0"/>
              <w:left w:val="single" w:color="auto" w:sz="4" w:space="0"/>
              <w:bottom w:val="single" w:color="auto" w:sz="4" w:space="0"/>
              <w:right w:val="single" w:color="auto" w:sz="4" w:space="0"/>
            </w:tcBorders>
          </w:tcPr>
          <w:p>
            <w:pPr>
              <w:rPr>
                <w:bCs/>
              </w:rPr>
            </w:pPr>
          </w:p>
        </w:tc>
        <w:tc>
          <w:tcPr>
            <w:tcW w:w="90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276" w:type="dxa"/>
            <w:tcBorders>
              <w:top w:val="single" w:color="auto" w:sz="4" w:space="0"/>
              <w:left w:val="single" w:color="auto" w:sz="4" w:space="0"/>
              <w:bottom w:val="single" w:color="auto" w:sz="4" w:space="0"/>
              <w:right w:val="single" w:color="auto" w:sz="4" w:space="0"/>
            </w:tcBorders>
          </w:tcPr>
          <w:p>
            <w:pPr>
              <w:rPr>
                <w:bCs/>
              </w:rPr>
            </w:pPr>
          </w:p>
        </w:tc>
        <w:tc>
          <w:tcPr>
            <w:tcW w:w="1481" w:type="dxa"/>
            <w:tcBorders>
              <w:top w:val="single" w:color="auto" w:sz="4" w:space="0"/>
              <w:left w:val="single" w:color="auto" w:sz="4" w:space="0"/>
              <w:bottom w:val="single" w:color="auto" w:sz="4" w:space="0"/>
              <w:right w:val="single" w:color="auto" w:sz="4" w:space="0"/>
            </w:tcBorders>
          </w:tcPr>
          <w:p>
            <w:pPr>
              <w:rPr>
                <w:bCs/>
              </w:rPr>
            </w:pPr>
          </w:p>
        </w:tc>
        <w:tc>
          <w:tcPr>
            <w:tcW w:w="1233" w:type="dxa"/>
            <w:tcBorders>
              <w:top w:val="single" w:color="auto" w:sz="4" w:space="0"/>
              <w:left w:val="single" w:color="auto" w:sz="4" w:space="0"/>
              <w:bottom w:val="single" w:color="auto" w:sz="4" w:space="0"/>
              <w:right w:val="single" w:color="auto" w:sz="4" w:space="0"/>
            </w:tcBorders>
          </w:tcPr>
          <w:p>
            <w:pPr>
              <w:rPr>
                <w:bCs/>
              </w:rPr>
            </w:pPr>
          </w:p>
        </w:tc>
        <w:tc>
          <w:tcPr>
            <w:tcW w:w="1397" w:type="dxa"/>
            <w:tcBorders>
              <w:top w:val="single" w:color="auto" w:sz="4" w:space="0"/>
              <w:left w:val="single" w:color="auto" w:sz="4" w:space="0"/>
              <w:bottom w:val="single" w:color="auto" w:sz="4" w:space="0"/>
              <w:right w:val="single" w:color="auto" w:sz="4" w:space="0"/>
            </w:tcBorders>
          </w:tcPr>
          <w:p>
            <w:pPr>
              <w:rPr>
                <w:bCs/>
              </w:rPr>
            </w:pPr>
          </w:p>
        </w:tc>
        <w:tc>
          <w:tcPr>
            <w:tcW w:w="2356" w:type="dxa"/>
            <w:tcBorders>
              <w:top w:val="single" w:color="auto" w:sz="4" w:space="0"/>
              <w:left w:val="single" w:color="auto" w:sz="4" w:space="0"/>
              <w:bottom w:val="single" w:color="auto" w:sz="4" w:space="0"/>
              <w:right w:val="single" w:color="auto" w:sz="4" w:space="0"/>
            </w:tcBorders>
          </w:tcPr>
          <w:p>
            <w:pPr>
              <w:rPr>
                <w:bCs/>
              </w:rPr>
            </w:pPr>
          </w:p>
        </w:tc>
        <w:tc>
          <w:tcPr>
            <w:tcW w:w="90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rPr>
            </w:pPr>
            <w:r>
              <w:rPr>
                <w:rFonts w:hint="eastAsia"/>
              </w:rPr>
              <w:t>说明：</w:t>
            </w:r>
            <w:r>
              <w:rPr>
                <w:rFonts w:hint="eastAsia"/>
                <w:bCs/>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pPr>
        <w:spacing w:line="560" w:lineRule="exact"/>
        <w:ind w:firstLine="560" w:firstLineChars="200"/>
        <w:rPr>
          <w:bCs/>
          <w:kern w:val="2"/>
          <w:sz w:val="28"/>
          <w:szCs w:val="28"/>
        </w:rPr>
      </w:pPr>
    </w:p>
    <w:p>
      <w:pPr>
        <w:spacing w:line="560" w:lineRule="exact"/>
        <w:ind w:firstLine="3920" w:firstLineChars="1400"/>
        <w:rPr>
          <w:bCs/>
          <w:sz w:val="28"/>
          <w:szCs w:val="28"/>
        </w:rPr>
      </w:pPr>
    </w:p>
    <w:p>
      <w:pPr>
        <w:spacing w:line="560" w:lineRule="exact"/>
        <w:ind w:firstLine="3920" w:firstLineChars="1400"/>
        <w:rPr>
          <w:bCs/>
          <w:sz w:val="28"/>
          <w:szCs w:val="28"/>
        </w:rPr>
      </w:pPr>
      <w:r>
        <w:rPr>
          <w:rFonts w:hint="eastAsia"/>
          <w:bCs/>
          <w:sz w:val="28"/>
          <w:szCs w:val="28"/>
        </w:rPr>
        <w:t>投标供应商全称：（盖章）</w:t>
      </w:r>
    </w:p>
    <w:p>
      <w:pPr>
        <w:spacing w:line="560" w:lineRule="exact"/>
        <w:ind w:firstLine="3920" w:firstLineChars="1400"/>
        <w:rPr>
          <w:bCs/>
          <w:sz w:val="28"/>
          <w:szCs w:val="28"/>
        </w:rPr>
      </w:pPr>
      <w:r>
        <w:rPr>
          <w:rFonts w:hint="eastAsia"/>
          <w:bCs/>
          <w:sz w:val="28"/>
          <w:szCs w:val="28"/>
        </w:rPr>
        <w:t>法定代表人（或授权代表）：（签字）</w:t>
      </w:r>
    </w:p>
    <w:p>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center"/>
        <w:rPr>
          <w:bCs/>
          <w:snapToGrid w:val="0"/>
          <w:sz w:val="28"/>
          <w:szCs w:val="28"/>
          <w:lang w:val="zh-CN"/>
        </w:rPr>
      </w:pPr>
    </w:p>
    <w:p>
      <w:pPr>
        <w:widowControl/>
        <w:jc w:val="left"/>
        <w:rPr>
          <w:rFonts w:ascii="Arial" w:hAnsi="Arial" w:eastAsia="黑体"/>
          <w:bCs/>
          <w:sz w:val="28"/>
          <w:szCs w:val="28"/>
        </w:rPr>
        <w:sectPr>
          <w:pgSz w:w="11906" w:h="16838"/>
          <w:pgMar w:top="1418" w:right="1134" w:bottom="1418" w:left="1418" w:header="851" w:footer="851" w:gutter="0"/>
          <w:cols w:space="720" w:num="1"/>
        </w:sectPr>
      </w:pPr>
    </w:p>
    <w:p>
      <w:pPr>
        <w:pStyle w:val="8"/>
        <w:spacing w:before="120" w:beforeLines="50" w:after="120" w:afterLines="50"/>
        <w:rPr>
          <w:b w:val="0"/>
        </w:rPr>
      </w:pPr>
      <w:r>
        <w:rPr>
          <w:rFonts w:hint="eastAsia"/>
          <w:b w:val="0"/>
        </w:rPr>
        <w:t>附件</w:t>
      </w:r>
      <w:r>
        <w:rPr>
          <w:b w:val="0"/>
        </w:rPr>
        <w:t>2-</w:t>
      </w:r>
      <w:bookmarkEnd w:id="334"/>
      <w:bookmarkEnd w:id="335"/>
      <w:bookmarkEnd w:id="336"/>
      <w:r>
        <w:rPr>
          <w:b w:val="0"/>
        </w:rPr>
        <w:t xml:space="preserve">6 </w:t>
      </w:r>
      <w:r>
        <w:rPr>
          <w:rFonts w:hint="eastAsia"/>
          <w:b w:val="0"/>
        </w:rPr>
        <w:t>技术指标参数响应偏离表</w:t>
      </w:r>
      <w:bookmarkEnd w:id="337"/>
    </w:p>
    <w:p>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pPr>
        <w:rPr>
          <w:bCs/>
          <w:sz w:val="28"/>
          <w:szCs w:val="28"/>
        </w:rPr>
      </w:pPr>
      <w:r>
        <w:rPr>
          <w:rFonts w:hint="eastAsia"/>
          <w:bCs/>
          <w:sz w:val="28"/>
          <w:szCs w:val="28"/>
        </w:rPr>
        <w:t>项目名称：</w:t>
      </w:r>
      <w:r>
        <w:rPr>
          <w:rFonts w:hint="eastAsia" w:ascii="宋体" w:hAnsi="宋体"/>
          <w:bCs/>
          <w:sz w:val="28"/>
          <w:szCs w:val="28"/>
          <w:u w:val="single"/>
        </w:rPr>
        <w:t xml:space="preserve">            </w:t>
      </w:r>
      <w:r>
        <w:rPr>
          <w:bCs/>
          <w:sz w:val="28"/>
          <w:szCs w:val="28"/>
        </w:rPr>
        <w:t xml:space="preserve"> </w:t>
      </w:r>
      <w:r>
        <w:rPr>
          <w:rFonts w:hint="eastAsia"/>
          <w:bCs/>
          <w:sz w:val="28"/>
          <w:szCs w:val="28"/>
        </w:rPr>
        <w:t>项目编号：</w:t>
      </w:r>
      <w:r>
        <w:rPr>
          <w:rFonts w:hint="eastAsia" w:ascii="宋体" w:hAnsi="宋体"/>
          <w:bCs/>
          <w:sz w:val="28"/>
          <w:szCs w:val="28"/>
          <w:u w:val="single"/>
        </w:rPr>
        <w:t xml:space="preserve">            </w:t>
      </w:r>
      <w:r>
        <w:rPr>
          <w:bCs/>
          <w:sz w:val="28"/>
          <w:szCs w:val="28"/>
        </w:rPr>
        <w:t xml:space="preserve"> </w:t>
      </w:r>
      <w:r>
        <w:rPr>
          <w:rFonts w:hint="eastAsia"/>
          <w:bCs/>
          <w:sz w:val="28"/>
          <w:szCs w:val="28"/>
        </w:rPr>
        <w:t>包号：</w:t>
      </w:r>
      <w:r>
        <w:rPr>
          <w:rFonts w:hint="eastAsia" w:ascii="宋体" w:hAnsi="宋体"/>
          <w:bCs/>
          <w:sz w:val="28"/>
          <w:szCs w:val="28"/>
          <w:u w:val="single"/>
        </w:rPr>
        <w:t xml:space="preserve">            </w:t>
      </w:r>
    </w:p>
    <w:tbl>
      <w:tblPr>
        <w:tblStyle w:val="45"/>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19"/>
        <w:gridCol w:w="1276"/>
        <w:gridCol w:w="1561"/>
        <w:gridCol w:w="1276"/>
        <w:gridCol w:w="209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评审项目</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技术评审要求</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技术参数</w:t>
            </w:r>
          </w:p>
          <w:p>
            <w:pPr>
              <w:widowControl/>
              <w:jc w:val="center"/>
              <w:rPr>
                <w:bCs/>
              </w:rPr>
            </w:pPr>
            <w:r>
              <w:rPr>
                <w:rFonts w:hint="eastAsia"/>
                <w:bCs/>
              </w:rPr>
              <w:t>响应</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偏离度</w:t>
            </w:r>
          </w:p>
        </w:tc>
        <w:tc>
          <w:tcPr>
            <w:tcW w:w="2095"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文件名称</w:t>
            </w:r>
            <w:r>
              <w:rPr>
                <w:rFonts w:hint="eastAsia" w:ascii="宋体" w:hAnsi="宋体"/>
                <w:bCs/>
              </w:rPr>
              <w:t>∕页码</w:t>
            </w:r>
          </w:p>
        </w:tc>
        <w:tc>
          <w:tcPr>
            <w:tcW w:w="1024"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418" w:type="dxa"/>
            <w:tcBorders>
              <w:top w:val="single" w:color="auto" w:sz="4" w:space="0"/>
              <w:left w:val="single" w:color="auto" w:sz="4" w:space="0"/>
              <w:bottom w:val="single" w:color="auto" w:sz="4" w:space="0"/>
              <w:right w:val="single" w:color="auto" w:sz="4" w:space="0"/>
            </w:tcBorders>
          </w:tcPr>
          <w:p>
            <w:pPr>
              <w:rPr>
                <w:bCs/>
              </w:rPr>
            </w:pPr>
          </w:p>
        </w:tc>
        <w:tc>
          <w:tcPr>
            <w:tcW w:w="1275" w:type="dxa"/>
            <w:tcBorders>
              <w:top w:val="single" w:color="auto" w:sz="4" w:space="0"/>
              <w:left w:val="single" w:color="auto" w:sz="4" w:space="0"/>
              <w:bottom w:val="single" w:color="auto" w:sz="4" w:space="0"/>
              <w:right w:val="single" w:color="auto" w:sz="4" w:space="0"/>
            </w:tcBorders>
          </w:tcPr>
          <w:p>
            <w:pPr>
              <w:rPr>
                <w:bCs/>
              </w:rPr>
            </w:pPr>
          </w:p>
        </w:tc>
        <w:tc>
          <w:tcPr>
            <w:tcW w:w="1560" w:type="dxa"/>
            <w:tcBorders>
              <w:top w:val="single" w:color="auto" w:sz="4" w:space="0"/>
              <w:left w:val="single" w:color="auto" w:sz="4" w:space="0"/>
              <w:bottom w:val="single" w:color="auto" w:sz="4" w:space="0"/>
              <w:right w:val="single" w:color="auto" w:sz="4" w:space="0"/>
            </w:tcBorders>
          </w:tcPr>
          <w:p>
            <w:pPr>
              <w:rPr>
                <w:bCs/>
              </w:rPr>
            </w:pPr>
          </w:p>
        </w:tc>
        <w:tc>
          <w:tcPr>
            <w:tcW w:w="1275" w:type="dxa"/>
            <w:tcBorders>
              <w:top w:val="single" w:color="auto" w:sz="4" w:space="0"/>
              <w:left w:val="single" w:color="auto" w:sz="4" w:space="0"/>
              <w:bottom w:val="single" w:color="auto" w:sz="4" w:space="0"/>
              <w:right w:val="single" w:color="auto" w:sz="4" w:space="0"/>
            </w:tcBorders>
          </w:tcPr>
          <w:p>
            <w:pPr>
              <w:rPr>
                <w:bCs/>
              </w:rPr>
            </w:pPr>
          </w:p>
        </w:tc>
        <w:tc>
          <w:tcPr>
            <w:tcW w:w="2095" w:type="dxa"/>
            <w:tcBorders>
              <w:top w:val="single" w:color="auto" w:sz="4" w:space="0"/>
              <w:left w:val="single" w:color="auto" w:sz="4" w:space="0"/>
              <w:bottom w:val="single" w:color="auto" w:sz="4" w:space="0"/>
              <w:right w:val="single" w:color="auto" w:sz="4" w:space="0"/>
            </w:tcBorders>
          </w:tcPr>
          <w:p>
            <w:pPr>
              <w:rPr>
                <w:bCs/>
              </w:rPr>
            </w:pPr>
          </w:p>
        </w:tc>
        <w:tc>
          <w:tcPr>
            <w:tcW w:w="102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418" w:type="dxa"/>
            <w:tcBorders>
              <w:top w:val="single" w:color="auto" w:sz="4" w:space="0"/>
              <w:left w:val="single" w:color="auto" w:sz="4" w:space="0"/>
              <w:bottom w:val="single" w:color="auto" w:sz="4" w:space="0"/>
              <w:right w:val="single" w:color="auto" w:sz="4" w:space="0"/>
            </w:tcBorders>
          </w:tcPr>
          <w:p>
            <w:pPr>
              <w:rPr>
                <w:bCs/>
              </w:rPr>
            </w:pPr>
          </w:p>
        </w:tc>
        <w:tc>
          <w:tcPr>
            <w:tcW w:w="1275" w:type="dxa"/>
            <w:tcBorders>
              <w:top w:val="single" w:color="auto" w:sz="4" w:space="0"/>
              <w:left w:val="single" w:color="auto" w:sz="4" w:space="0"/>
              <w:bottom w:val="single" w:color="auto" w:sz="4" w:space="0"/>
              <w:right w:val="single" w:color="auto" w:sz="4" w:space="0"/>
            </w:tcBorders>
          </w:tcPr>
          <w:p>
            <w:pPr>
              <w:rPr>
                <w:bCs/>
              </w:rPr>
            </w:pPr>
          </w:p>
        </w:tc>
        <w:tc>
          <w:tcPr>
            <w:tcW w:w="1560" w:type="dxa"/>
            <w:tcBorders>
              <w:top w:val="single" w:color="auto" w:sz="4" w:space="0"/>
              <w:left w:val="single" w:color="auto" w:sz="4" w:space="0"/>
              <w:bottom w:val="single" w:color="auto" w:sz="4" w:space="0"/>
              <w:right w:val="single" w:color="auto" w:sz="4" w:space="0"/>
            </w:tcBorders>
          </w:tcPr>
          <w:p>
            <w:pPr>
              <w:rPr>
                <w:bCs/>
              </w:rPr>
            </w:pPr>
          </w:p>
        </w:tc>
        <w:tc>
          <w:tcPr>
            <w:tcW w:w="1275" w:type="dxa"/>
            <w:tcBorders>
              <w:top w:val="single" w:color="auto" w:sz="4" w:space="0"/>
              <w:left w:val="single" w:color="auto" w:sz="4" w:space="0"/>
              <w:bottom w:val="single" w:color="auto" w:sz="4" w:space="0"/>
              <w:right w:val="single" w:color="auto" w:sz="4" w:space="0"/>
            </w:tcBorders>
          </w:tcPr>
          <w:p>
            <w:pPr>
              <w:rPr>
                <w:bCs/>
              </w:rPr>
            </w:pPr>
          </w:p>
        </w:tc>
        <w:tc>
          <w:tcPr>
            <w:tcW w:w="2095" w:type="dxa"/>
            <w:tcBorders>
              <w:top w:val="single" w:color="auto" w:sz="4" w:space="0"/>
              <w:left w:val="single" w:color="auto" w:sz="4" w:space="0"/>
              <w:bottom w:val="single" w:color="auto" w:sz="4" w:space="0"/>
              <w:right w:val="single" w:color="auto" w:sz="4" w:space="0"/>
            </w:tcBorders>
          </w:tcPr>
          <w:p>
            <w:pPr>
              <w:rPr>
                <w:bCs/>
              </w:rPr>
            </w:pPr>
          </w:p>
        </w:tc>
        <w:tc>
          <w:tcPr>
            <w:tcW w:w="102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pPr>
              <w:rPr>
                <w:bCs/>
              </w:rPr>
            </w:pPr>
          </w:p>
        </w:tc>
        <w:tc>
          <w:tcPr>
            <w:tcW w:w="1418" w:type="dxa"/>
            <w:tcBorders>
              <w:top w:val="single" w:color="auto" w:sz="4" w:space="0"/>
              <w:left w:val="single" w:color="auto" w:sz="4" w:space="0"/>
              <w:bottom w:val="single" w:color="auto" w:sz="4" w:space="0"/>
              <w:right w:val="single" w:color="auto" w:sz="4" w:space="0"/>
            </w:tcBorders>
          </w:tcPr>
          <w:p>
            <w:pPr>
              <w:rPr>
                <w:bCs/>
              </w:rPr>
            </w:pPr>
          </w:p>
        </w:tc>
        <w:tc>
          <w:tcPr>
            <w:tcW w:w="1275" w:type="dxa"/>
            <w:tcBorders>
              <w:top w:val="single" w:color="auto" w:sz="4" w:space="0"/>
              <w:left w:val="single" w:color="auto" w:sz="4" w:space="0"/>
              <w:bottom w:val="single" w:color="auto" w:sz="4" w:space="0"/>
              <w:right w:val="single" w:color="auto" w:sz="4" w:space="0"/>
            </w:tcBorders>
          </w:tcPr>
          <w:p>
            <w:pPr>
              <w:rPr>
                <w:bCs/>
              </w:rPr>
            </w:pPr>
          </w:p>
        </w:tc>
        <w:tc>
          <w:tcPr>
            <w:tcW w:w="1560" w:type="dxa"/>
            <w:tcBorders>
              <w:top w:val="single" w:color="auto" w:sz="4" w:space="0"/>
              <w:left w:val="single" w:color="auto" w:sz="4" w:space="0"/>
              <w:bottom w:val="single" w:color="auto" w:sz="4" w:space="0"/>
              <w:right w:val="single" w:color="auto" w:sz="4" w:space="0"/>
            </w:tcBorders>
          </w:tcPr>
          <w:p>
            <w:pPr>
              <w:rPr>
                <w:bCs/>
              </w:rPr>
            </w:pPr>
          </w:p>
        </w:tc>
        <w:tc>
          <w:tcPr>
            <w:tcW w:w="1275" w:type="dxa"/>
            <w:tcBorders>
              <w:top w:val="single" w:color="auto" w:sz="4" w:space="0"/>
              <w:left w:val="single" w:color="auto" w:sz="4" w:space="0"/>
              <w:bottom w:val="single" w:color="auto" w:sz="4" w:space="0"/>
              <w:right w:val="single" w:color="auto" w:sz="4" w:space="0"/>
            </w:tcBorders>
          </w:tcPr>
          <w:p>
            <w:pPr>
              <w:rPr>
                <w:bCs/>
              </w:rPr>
            </w:pPr>
          </w:p>
        </w:tc>
        <w:tc>
          <w:tcPr>
            <w:tcW w:w="2095" w:type="dxa"/>
            <w:tcBorders>
              <w:top w:val="single" w:color="auto" w:sz="4" w:space="0"/>
              <w:left w:val="single" w:color="auto" w:sz="4" w:space="0"/>
              <w:bottom w:val="single" w:color="auto" w:sz="4" w:space="0"/>
              <w:right w:val="single" w:color="auto" w:sz="4" w:space="0"/>
            </w:tcBorders>
          </w:tcPr>
          <w:p>
            <w:pPr>
              <w:rPr>
                <w:bCs/>
              </w:rPr>
            </w:pPr>
          </w:p>
        </w:tc>
        <w:tc>
          <w:tcPr>
            <w:tcW w:w="1024"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trPr>
        <w:tc>
          <w:tcPr>
            <w:tcW w:w="9356" w:type="dxa"/>
            <w:gridSpan w:val="7"/>
            <w:tcBorders>
              <w:top w:val="single" w:color="auto" w:sz="4" w:space="0"/>
              <w:left w:val="single" w:color="auto" w:sz="4" w:space="0"/>
              <w:bottom w:val="single" w:color="auto" w:sz="4" w:space="0"/>
              <w:right w:val="single" w:color="auto" w:sz="4" w:space="0"/>
            </w:tcBorders>
          </w:tcPr>
          <w:p>
            <w:pPr>
              <w:spacing w:line="276" w:lineRule="auto"/>
              <w:rPr>
                <w:bCs/>
              </w:rPr>
            </w:pPr>
            <w:r>
              <w:rPr>
                <w:rFonts w:hint="eastAsia"/>
                <w:bCs/>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pPr>
        <w:pStyle w:val="20"/>
        <w:rPr>
          <w:kern w:val="2"/>
        </w:rPr>
      </w:pPr>
    </w:p>
    <w:p>
      <w:pPr>
        <w:rPr>
          <w:bCs/>
        </w:rPr>
      </w:pPr>
    </w:p>
    <w:p>
      <w:pPr>
        <w:spacing w:line="560" w:lineRule="exact"/>
        <w:ind w:firstLine="3920" w:firstLineChars="1400"/>
        <w:rPr>
          <w:bCs/>
          <w:sz w:val="28"/>
          <w:szCs w:val="28"/>
        </w:rPr>
      </w:pPr>
      <w:r>
        <w:rPr>
          <w:rFonts w:hint="eastAsia"/>
          <w:bCs/>
          <w:sz w:val="28"/>
          <w:szCs w:val="28"/>
        </w:rPr>
        <w:t>投标供应商全称：（盖章）</w:t>
      </w:r>
    </w:p>
    <w:p>
      <w:pPr>
        <w:spacing w:line="560" w:lineRule="exact"/>
        <w:ind w:firstLine="3920" w:firstLineChars="1400"/>
        <w:rPr>
          <w:bCs/>
          <w:sz w:val="28"/>
          <w:szCs w:val="28"/>
        </w:rPr>
      </w:pPr>
      <w:r>
        <w:rPr>
          <w:rFonts w:hint="eastAsia"/>
          <w:bCs/>
          <w:sz w:val="28"/>
          <w:szCs w:val="28"/>
        </w:rPr>
        <w:t>法定代表人（或授权代表）：（签字）</w:t>
      </w:r>
    </w:p>
    <w:p>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ind w:firstLine="420" w:firstLineChars="200"/>
        <w:jc w:val="center"/>
        <w:rPr>
          <w:sz w:val="21"/>
        </w:rPr>
      </w:pPr>
    </w:p>
    <w:p>
      <w:pPr>
        <w:widowControl/>
        <w:jc w:val="left"/>
        <w:rPr>
          <w:rFonts w:ascii="Arial" w:hAnsi="Arial" w:eastAsia="黑体"/>
          <w:bCs/>
          <w:sz w:val="28"/>
          <w:szCs w:val="28"/>
        </w:rPr>
      </w:pPr>
      <w:r>
        <w:rPr>
          <w:b/>
        </w:rPr>
        <w:br w:type="page"/>
      </w:r>
    </w:p>
    <w:p>
      <w:pPr>
        <w:pStyle w:val="8"/>
        <w:spacing w:before="120" w:beforeLines="50" w:after="120" w:afterLines="50"/>
      </w:pPr>
      <w:r>
        <w:rPr>
          <w:rFonts w:hint="eastAsia"/>
          <w:b w:val="0"/>
        </w:rPr>
        <w:t>附件</w:t>
      </w:r>
      <w:r>
        <w:rPr>
          <w:b w:val="0"/>
        </w:rPr>
        <w:t xml:space="preserve">2-7 </w:t>
      </w:r>
      <w:r>
        <w:rPr>
          <w:rFonts w:hint="eastAsia"/>
          <w:b w:val="0"/>
        </w:rPr>
        <w:t>交货清单</w:t>
      </w:r>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交货清单</w:t>
      </w:r>
    </w:p>
    <w:p>
      <w:pPr>
        <w:rPr>
          <w:rFonts w:hint="eastAsia"/>
          <w:snapToGrid w:val="0"/>
          <w:sz w:val="28"/>
          <w:szCs w:val="28"/>
          <w:lang w:val="zh-CN"/>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94"/>
        <w:gridCol w:w="882"/>
        <w:gridCol w:w="1369"/>
        <w:gridCol w:w="808"/>
        <w:gridCol w:w="1034"/>
        <w:gridCol w:w="1106"/>
        <w:gridCol w:w="754"/>
        <w:gridCol w:w="754"/>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序号</w:t>
            </w:r>
          </w:p>
        </w:tc>
        <w:tc>
          <w:tcPr>
            <w:tcW w:w="676" w:type="pct"/>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物资名称</w:t>
            </w:r>
          </w:p>
        </w:tc>
        <w:tc>
          <w:tcPr>
            <w:tcW w:w="461" w:type="pct"/>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品牌</w:t>
            </w:r>
          </w:p>
        </w:tc>
        <w:tc>
          <w:tcPr>
            <w:tcW w:w="715" w:type="pct"/>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规格型号</w:t>
            </w: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rPr>
              <w:t>单位</w:t>
            </w:r>
          </w:p>
        </w:tc>
        <w:tc>
          <w:tcPr>
            <w:tcW w:w="540" w:type="pct"/>
            <w:tcBorders>
              <w:top w:val="single" w:color="000000" w:sz="4" w:space="0"/>
              <w:left w:val="single" w:color="auto" w:sz="4" w:space="0"/>
              <w:bottom w:val="single" w:color="000000" w:sz="4" w:space="0"/>
              <w:right w:val="single" w:color="auto" w:sz="4" w:space="0"/>
            </w:tcBorders>
            <w:vAlign w:val="center"/>
          </w:tcPr>
          <w:p>
            <w:pPr>
              <w:widowControl/>
              <w:jc w:val="center"/>
            </w:pPr>
            <w:r>
              <w:rPr>
                <w:rFonts w:hint="eastAsia"/>
              </w:rPr>
              <w:t>数量</w:t>
            </w:r>
          </w:p>
        </w:tc>
        <w:tc>
          <w:tcPr>
            <w:tcW w:w="578" w:type="pct"/>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rPr>
              <w:t>原产地</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snapToGrid w:val="0"/>
              </w:rPr>
              <w:t>交货时间</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snapToGrid w:val="0"/>
              </w:rPr>
              <w:t>交货地点</w:t>
            </w:r>
          </w:p>
        </w:tc>
        <w:tc>
          <w:tcPr>
            <w:tcW w:w="394" w:type="pct"/>
            <w:tcBorders>
              <w:top w:val="single" w:color="000000" w:sz="4" w:space="0"/>
              <w:left w:val="single" w:color="auto" w:sz="4" w:space="0"/>
              <w:bottom w:val="single" w:color="000000" w:sz="4" w:space="0"/>
              <w:right w:val="single" w:color="000000" w:sz="4" w:space="0"/>
            </w:tcBorders>
            <w:vAlign w:val="center"/>
          </w:tcPr>
          <w:p>
            <w:pPr>
              <w:widowControl/>
              <w:jc w:val="center"/>
            </w:pPr>
            <w:r>
              <w:rPr>
                <w:rFonts w:hint="eastAsia"/>
                <w:snapToGrid w:val="0"/>
              </w:rPr>
              <w:t>交货方式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27"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676"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61"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715"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422" w:type="pct"/>
            <w:tcBorders>
              <w:top w:val="single" w:color="000000" w:sz="4" w:space="0"/>
              <w:left w:val="single" w:color="000000" w:sz="4" w:space="0"/>
              <w:bottom w:val="single" w:color="000000" w:sz="4" w:space="0"/>
              <w:right w:val="single" w:color="000000" w:sz="4" w:space="0"/>
            </w:tcBorders>
            <w:vAlign w:val="center"/>
          </w:tcPr>
          <w:p>
            <w:pPr>
              <w:jc w:val="center"/>
              <w:rPr>
                <w:snapToGrid w:val="0"/>
              </w:rPr>
            </w:pPr>
          </w:p>
        </w:tc>
        <w:tc>
          <w:tcPr>
            <w:tcW w:w="540" w:type="pct"/>
            <w:tcBorders>
              <w:top w:val="single" w:color="000000" w:sz="4" w:space="0"/>
              <w:left w:val="single" w:color="auto" w:sz="4" w:space="0"/>
              <w:bottom w:val="single" w:color="000000" w:sz="4" w:space="0"/>
              <w:right w:val="single" w:color="auto" w:sz="4" w:space="0"/>
            </w:tcBorders>
          </w:tcPr>
          <w:p>
            <w:pPr>
              <w:jc w:val="center"/>
              <w:rPr>
                <w:snapToGrid w:val="0"/>
              </w:rPr>
            </w:pPr>
          </w:p>
        </w:tc>
        <w:tc>
          <w:tcPr>
            <w:tcW w:w="578" w:type="pct"/>
            <w:tcBorders>
              <w:top w:val="single" w:color="000000" w:sz="4" w:space="0"/>
              <w:left w:val="single" w:color="auto" w:sz="4" w:space="0"/>
              <w:bottom w:val="single" w:color="000000" w:sz="4" w:space="0"/>
              <w:right w:val="single" w:color="000000" w:sz="4" w:space="0"/>
            </w:tcBorders>
            <w:vAlign w:val="center"/>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c>
          <w:tcPr>
            <w:tcW w:w="394" w:type="pct"/>
            <w:tcBorders>
              <w:top w:val="single" w:color="000000" w:sz="4" w:space="0"/>
              <w:left w:val="single" w:color="auto" w:sz="4" w:space="0"/>
              <w:bottom w:val="single" w:color="000000" w:sz="4" w:space="0"/>
              <w:right w:val="single" w:color="000000" w:sz="4" w:space="0"/>
            </w:tcBorders>
          </w:tcPr>
          <w:p>
            <w:pPr>
              <w:jc w:val="center"/>
              <w:rPr>
                <w:snapToGrid w:val="0"/>
              </w:rPr>
            </w:pPr>
          </w:p>
        </w:tc>
      </w:tr>
    </w:tbl>
    <w:p>
      <w:pPr>
        <w:rPr>
          <w:snapToGrid w:val="0"/>
          <w:kern w:val="2"/>
          <w:sz w:val="32"/>
          <w:szCs w:val="32"/>
        </w:rPr>
      </w:pPr>
    </w:p>
    <w:p>
      <w:pPr>
        <w:rPr>
          <w:snapToGrid w:val="0"/>
          <w:sz w:val="32"/>
          <w:szCs w:val="32"/>
        </w:rPr>
      </w:pPr>
    </w:p>
    <w:p>
      <w:pPr>
        <w:rPr>
          <w:snapToGrid w:val="0"/>
          <w:sz w:val="32"/>
          <w:szCs w:val="32"/>
        </w:rPr>
      </w:pPr>
    </w:p>
    <w:p>
      <w:pPr>
        <w:spacing w:line="560" w:lineRule="exact"/>
        <w:ind w:firstLine="3920" w:firstLineChars="1400"/>
        <w:rPr>
          <w:bCs/>
          <w:sz w:val="28"/>
          <w:szCs w:val="28"/>
        </w:rPr>
      </w:pPr>
      <w:r>
        <w:rPr>
          <w:rFonts w:hint="eastAsia"/>
          <w:bCs/>
          <w:sz w:val="28"/>
          <w:szCs w:val="28"/>
        </w:rPr>
        <w:t>投标供应商全称：（盖章）</w:t>
      </w:r>
    </w:p>
    <w:p>
      <w:pPr>
        <w:spacing w:line="560" w:lineRule="exact"/>
        <w:ind w:firstLine="3920" w:firstLineChars="1400"/>
        <w:rPr>
          <w:bCs/>
          <w:sz w:val="28"/>
          <w:szCs w:val="28"/>
        </w:rPr>
      </w:pPr>
      <w:r>
        <w:rPr>
          <w:rFonts w:hint="eastAsia"/>
          <w:bCs/>
          <w:sz w:val="28"/>
          <w:szCs w:val="28"/>
        </w:rPr>
        <w:t>法定代表人（或授权代表）：（签字）</w:t>
      </w:r>
    </w:p>
    <w:p>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right"/>
        <w:rPr>
          <w:sz w:val="21"/>
        </w:rPr>
      </w:pPr>
    </w:p>
    <w:p>
      <w:pPr>
        <w:pStyle w:val="8"/>
        <w:spacing w:before="120" w:beforeLines="50" w:after="120" w:afterLines="50"/>
        <w:rPr>
          <w:b w:val="0"/>
        </w:rPr>
      </w:pPr>
      <w:r>
        <w:rPr>
          <w:b w:val="0"/>
          <w:bCs w:val="0"/>
        </w:rPr>
        <w:br w:type="page"/>
      </w:r>
      <w:bookmarkStart w:id="338" w:name="_Toc18434"/>
      <w:bookmarkStart w:id="339" w:name="_Toc10471"/>
      <w:bookmarkStart w:id="340" w:name="_Toc22054"/>
      <w:bookmarkStart w:id="341" w:name="_Toc9284"/>
      <w:bookmarkStart w:id="342" w:name="_Toc12480"/>
      <w:bookmarkStart w:id="343" w:name="_Toc1560"/>
      <w:bookmarkStart w:id="344" w:name="_Toc22641"/>
      <w:bookmarkStart w:id="345" w:name="_Toc5291"/>
      <w:r>
        <w:rPr>
          <w:rFonts w:hint="eastAsia"/>
          <w:b w:val="0"/>
        </w:rPr>
        <w:t>附件</w:t>
      </w:r>
      <w:r>
        <w:rPr>
          <w:b w:val="0"/>
        </w:rPr>
        <w:t xml:space="preserve">2-8 </w:t>
      </w:r>
      <w:r>
        <w:rPr>
          <w:rFonts w:hint="eastAsia"/>
          <w:b w:val="0"/>
        </w:rPr>
        <w:t>易损易耗件清单</w:t>
      </w:r>
      <w:bookmarkEnd w:id="338"/>
      <w:bookmarkEnd w:id="339"/>
      <w:bookmarkEnd w:id="340"/>
      <w:bookmarkEnd w:id="34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pPr>
        <w:rPr>
          <w:rFonts w:hint="eastAsia"/>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944"/>
        <w:gridCol w:w="1417"/>
        <w:gridCol w:w="1134"/>
        <w:gridCol w:w="709"/>
        <w:gridCol w:w="1134"/>
        <w:gridCol w:w="1134"/>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序号</w:t>
            </w:r>
          </w:p>
        </w:tc>
        <w:tc>
          <w:tcPr>
            <w:tcW w:w="1946"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品牌</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bCs/>
              </w:rPr>
            </w:pPr>
            <w:r>
              <w:rPr>
                <w:rFonts w:hint="eastAsia"/>
                <w:bCs/>
              </w:rPr>
              <w:t>原产地</w:t>
            </w: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pPr>
              <w:rPr>
                <w:bCs/>
              </w:rPr>
            </w:pPr>
          </w:p>
        </w:tc>
        <w:tc>
          <w:tcPr>
            <w:tcW w:w="1946" w:type="dxa"/>
            <w:tcBorders>
              <w:top w:val="single" w:color="auto" w:sz="4" w:space="0"/>
              <w:left w:val="single" w:color="auto" w:sz="4" w:space="0"/>
              <w:bottom w:val="single" w:color="auto" w:sz="4" w:space="0"/>
              <w:right w:val="single" w:color="auto" w:sz="4" w:space="0"/>
            </w:tcBorders>
          </w:tcPr>
          <w:p>
            <w:pPr>
              <w:rPr>
                <w:bCs/>
              </w:rPr>
            </w:pPr>
          </w:p>
        </w:tc>
        <w:tc>
          <w:tcPr>
            <w:tcW w:w="1417"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709"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134" w:type="dxa"/>
            <w:tcBorders>
              <w:top w:val="single" w:color="auto" w:sz="4" w:space="0"/>
              <w:left w:val="single" w:color="auto" w:sz="4" w:space="0"/>
              <w:bottom w:val="single" w:color="auto" w:sz="4" w:space="0"/>
              <w:right w:val="single" w:color="auto" w:sz="4" w:space="0"/>
            </w:tcBorders>
          </w:tcPr>
          <w:p>
            <w:pPr>
              <w:rPr>
                <w:bCs/>
              </w:rPr>
            </w:pPr>
          </w:p>
        </w:tc>
        <w:tc>
          <w:tcPr>
            <w:tcW w:w="1021"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021" w:type="dxa"/>
            <w:tcBorders>
              <w:top w:val="single" w:color="auto" w:sz="4" w:space="0"/>
              <w:left w:val="single" w:color="auto" w:sz="4" w:space="0"/>
              <w:bottom w:val="single" w:color="auto" w:sz="4" w:space="0"/>
              <w:right w:val="single" w:color="auto" w:sz="4" w:space="0"/>
            </w:tcBorders>
            <w:vAlign w:val="center"/>
          </w:tcPr>
          <w:p>
            <w:pPr>
              <w:jc w:val="center"/>
              <w:rPr>
                <w:bCs/>
              </w:rPr>
            </w:pPr>
          </w:p>
        </w:tc>
      </w:tr>
    </w:tbl>
    <w:p>
      <w:pPr>
        <w:ind w:firstLine="560" w:firstLineChars="200"/>
        <w:rPr>
          <w:bCs/>
          <w:kern w:val="2"/>
          <w:sz w:val="28"/>
          <w:szCs w:val="28"/>
        </w:rPr>
      </w:pPr>
    </w:p>
    <w:p>
      <w:pPr>
        <w:spacing w:line="560" w:lineRule="exact"/>
        <w:rPr>
          <w:bCs/>
          <w:sz w:val="28"/>
          <w:szCs w:val="28"/>
        </w:rPr>
      </w:pP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rPr>
          <w:bCs/>
          <w:sz w:val="21"/>
        </w:rPr>
      </w:pPr>
    </w:p>
    <w:p>
      <w:pPr>
        <w:rPr>
          <w:bCs/>
        </w:rPr>
      </w:pPr>
    </w:p>
    <w:p>
      <w:pPr>
        <w:ind w:firstLine="480" w:firstLineChars="200"/>
        <w:rPr>
          <w:bCs/>
        </w:rPr>
      </w:pPr>
      <w:r>
        <w:rPr>
          <w:bCs/>
        </w:rPr>
        <w:br w:type="page"/>
      </w:r>
    </w:p>
    <w:bookmarkEnd w:id="342"/>
    <w:bookmarkEnd w:id="343"/>
    <w:bookmarkEnd w:id="344"/>
    <w:bookmarkEnd w:id="345"/>
    <w:p>
      <w:pPr>
        <w:pStyle w:val="8"/>
        <w:spacing w:before="120" w:beforeLines="50" w:after="120" w:afterLines="50"/>
        <w:rPr>
          <w:rFonts w:ascii="宋体" w:hAnsi="宋体"/>
          <w:b w:val="0"/>
        </w:rPr>
      </w:pPr>
      <w:bookmarkStart w:id="346" w:name="_Toc895"/>
      <w:bookmarkStart w:id="347" w:name="_Toc9205"/>
      <w:bookmarkStart w:id="348" w:name="_Toc2915"/>
      <w:bookmarkStart w:id="349" w:name="_Toc24602"/>
      <w:r>
        <w:rPr>
          <w:rFonts w:hint="eastAsia"/>
          <w:b w:val="0"/>
        </w:rPr>
        <w:t>附件</w:t>
      </w:r>
      <w:r>
        <w:rPr>
          <w:b w:val="0"/>
        </w:rPr>
        <w:t xml:space="preserve">2-9 </w:t>
      </w:r>
      <w:r>
        <w:rPr>
          <w:rFonts w:hint="eastAsia"/>
          <w:b w:val="0"/>
        </w:rPr>
        <w:t>售后服务方案</w:t>
      </w:r>
      <w:bookmarkEnd w:id="346"/>
      <w:bookmarkEnd w:id="347"/>
      <w:bookmarkEnd w:id="348"/>
      <w:bookmarkEnd w:id="349"/>
    </w:p>
    <w:p>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售后服务方案</w:t>
      </w:r>
    </w:p>
    <w:p>
      <w:pPr>
        <w:spacing w:line="360" w:lineRule="auto"/>
        <w:ind w:firstLine="560" w:firstLineChars="200"/>
        <w:jc w:val="left"/>
        <w:rPr>
          <w:rFonts w:hint="eastAsia"/>
          <w:bCs/>
          <w:sz w:val="28"/>
          <w:szCs w:val="28"/>
          <w:lang w:val="zh-CN"/>
        </w:rPr>
      </w:pPr>
      <w:r>
        <w:rPr>
          <w:rFonts w:hint="eastAsia"/>
          <w:bCs/>
          <w:sz w:val="28"/>
          <w:szCs w:val="28"/>
          <w:lang w:val="zh-CN"/>
        </w:rPr>
        <w:t>（由投标供应商根据项目需求及技术评审表中“售后服务”评审细则自行拟定）</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pStyle w:val="8"/>
        <w:spacing w:before="120" w:beforeLines="50" w:after="120" w:afterLines="50"/>
        <w:rPr>
          <w:bCs w:val="0"/>
        </w:rPr>
      </w:pPr>
      <w:r>
        <w:rPr>
          <w:bCs w:val="0"/>
          <w:lang w:val="zh-CN"/>
        </w:rPr>
        <w:br w:type="page"/>
      </w:r>
    </w:p>
    <w:p>
      <w:pPr>
        <w:pStyle w:val="8"/>
        <w:spacing w:before="120" w:beforeLines="50" w:after="120" w:afterLines="50"/>
        <w:rPr>
          <w:b w:val="0"/>
        </w:rPr>
      </w:pPr>
      <w:bookmarkStart w:id="350" w:name="_Toc20867"/>
      <w:bookmarkStart w:id="351" w:name="_Toc9575"/>
      <w:bookmarkStart w:id="352" w:name="_Toc27617"/>
      <w:bookmarkStart w:id="353" w:name="_Toc18148"/>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350"/>
      <w:bookmarkEnd w:id="351"/>
      <w:bookmarkEnd w:id="352"/>
      <w:bookmarkEnd w:id="353"/>
    </w:p>
    <w:p>
      <w:pPr>
        <w:spacing w:before="120" w:beforeLines="50" w:after="120" w:afterLines="50" w:line="560" w:lineRule="exact"/>
        <w:jc w:val="center"/>
        <w:rPr>
          <w:rFonts w:ascii="黑体" w:hAnsi="黑体" w:eastAsia="黑体" w:cs="黑体"/>
          <w:bCs/>
          <w:sz w:val="36"/>
          <w:szCs w:val="36"/>
          <w:lang w:val="zh-CN"/>
        </w:rPr>
      </w:pPr>
      <w:bookmarkStart w:id="354" w:name="_Toc285612608"/>
      <w:r>
        <w:rPr>
          <w:rFonts w:hint="eastAsia" w:ascii="黑体" w:hAnsi="黑体" w:eastAsia="黑体" w:cs="黑体"/>
          <w:bCs/>
          <w:sz w:val="36"/>
          <w:szCs w:val="36"/>
          <w:lang w:val="zh-CN"/>
        </w:rPr>
        <w:t>技术方案</w:t>
      </w:r>
      <w:bookmarkEnd w:id="354"/>
      <w:r>
        <w:rPr>
          <w:rFonts w:hint="eastAsia" w:ascii="黑体" w:hAnsi="黑体" w:eastAsia="黑体" w:cs="黑体"/>
          <w:bCs/>
          <w:sz w:val="36"/>
          <w:szCs w:val="36"/>
          <w:lang w:val="zh-CN"/>
        </w:rPr>
        <w:t>和所投标产品技术支持材料</w:t>
      </w:r>
    </w:p>
    <w:p>
      <w:pPr>
        <w:spacing w:line="560" w:lineRule="exact"/>
        <w:ind w:firstLine="560" w:firstLineChars="200"/>
        <w:rPr>
          <w:rFonts w:hint="eastAsia"/>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p>
      <w:pPr>
        <w:autoSpaceDE w:val="0"/>
        <w:autoSpaceDN w:val="0"/>
        <w:adjustRightInd w:val="0"/>
        <w:ind w:firstLine="352" w:firstLineChars="168"/>
        <w:rPr>
          <w:bCs/>
          <w:sz w:val="21"/>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autoSpaceDE w:val="0"/>
        <w:autoSpaceDN w:val="0"/>
        <w:adjustRightInd w:val="0"/>
        <w:ind w:firstLine="403" w:firstLineChars="168"/>
        <w:rPr>
          <w:bCs/>
          <w:lang w:val="zh-CN"/>
        </w:rPr>
      </w:pPr>
    </w:p>
    <w:p>
      <w:pPr>
        <w:pStyle w:val="8"/>
        <w:spacing w:before="120" w:beforeLines="50" w:after="120" w:afterLines="50"/>
        <w:rPr>
          <w:b w:val="0"/>
        </w:rPr>
      </w:pPr>
      <w:r>
        <w:rPr>
          <w:bCs w:val="0"/>
          <w:lang w:val="zh-CN"/>
        </w:rPr>
        <w:br w:type="page"/>
      </w:r>
      <w:bookmarkStart w:id="355" w:name="_Toc8834"/>
      <w:bookmarkStart w:id="356" w:name="_Toc11724"/>
      <w:bookmarkStart w:id="357" w:name="_Toc9822"/>
      <w:bookmarkStart w:id="358" w:name="_Toc16214"/>
      <w:bookmarkStart w:id="359" w:name="_Toc19897"/>
      <w:bookmarkStart w:id="360" w:name="_Toc25244"/>
      <w:bookmarkStart w:id="361" w:name="_Toc299"/>
      <w:bookmarkStart w:id="362" w:name="_Toc15725"/>
    </w:p>
    <w:p>
      <w:pPr>
        <w:pStyle w:val="8"/>
        <w:spacing w:before="120" w:beforeLines="50" w:after="120" w:afterLines="50"/>
        <w:rPr>
          <w:rFonts w:ascii="宋体" w:hAnsi="宋体"/>
          <w:b w:val="0"/>
        </w:rPr>
      </w:pPr>
      <w:r>
        <w:rPr>
          <w:rFonts w:hint="eastAsia"/>
          <w:b w:val="0"/>
        </w:rPr>
        <w:t>附件</w:t>
      </w:r>
      <w:r>
        <w:rPr>
          <w:b w:val="0"/>
        </w:rPr>
        <w:t xml:space="preserve">2-11 </w:t>
      </w:r>
      <w:r>
        <w:rPr>
          <w:rFonts w:hint="eastAsia"/>
          <w:b w:val="0"/>
        </w:rPr>
        <w:t>技术力量清单及证明材料</w:t>
      </w:r>
      <w:bookmarkEnd w:id="355"/>
      <w:bookmarkEnd w:id="356"/>
      <w:bookmarkEnd w:id="357"/>
      <w:bookmarkEnd w:id="358"/>
    </w:p>
    <w:p>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pPr>
        <w:spacing w:line="360" w:lineRule="auto"/>
        <w:ind w:firstLine="560" w:firstLineChars="200"/>
        <w:jc w:val="left"/>
        <w:rPr>
          <w:rFonts w:hint="eastAsia"/>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autoSpaceDE w:val="0"/>
        <w:autoSpaceDN w:val="0"/>
        <w:adjustRightInd w:val="0"/>
        <w:rPr>
          <w:bCs/>
          <w:sz w:val="28"/>
          <w:szCs w:val="28"/>
          <w:lang w:val="zh-CN"/>
        </w:rPr>
      </w:pPr>
    </w:p>
    <w:p>
      <w:pPr>
        <w:ind w:firstLine="560" w:firstLineChars="200"/>
        <w:jc w:val="center"/>
        <w:rPr>
          <w:bCs/>
          <w:sz w:val="36"/>
          <w:szCs w:val="36"/>
        </w:rPr>
      </w:pPr>
      <w:r>
        <w:rPr>
          <w:bCs/>
          <w:snapToGrid w:val="0"/>
          <w:sz w:val="28"/>
          <w:szCs w:val="28"/>
          <w:lang w:val="zh-CN"/>
        </w:rPr>
        <w:br w:type="page"/>
      </w:r>
    </w:p>
    <w:bookmarkEnd w:id="359"/>
    <w:bookmarkEnd w:id="360"/>
    <w:bookmarkEnd w:id="361"/>
    <w:bookmarkEnd w:id="362"/>
    <w:p>
      <w:pPr>
        <w:pStyle w:val="8"/>
        <w:spacing w:before="120" w:beforeLines="50" w:after="120" w:afterLines="50"/>
        <w:rPr>
          <w:rFonts w:ascii="宋体" w:hAnsi="宋体"/>
          <w:b w:val="0"/>
        </w:rPr>
      </w:pPr>
      <w:bookmarkStart w:id="363" w:name="_Toc19663"/>
      <w:bookmarkStart w:id="364" w:name="_Toc10912"/>
      <w:bookmarkStart w:id="365" w:name="_Toc25966"/>
      <w:bookmarkStart w:id="366" w:name="_Toc2615"/>
      <w:r>
        <w:rPr>
          <w:rFonts w:hint="eastAsia"/>
          <w:b w:val="0"/>
        </w:rPr>
        <w:t>附件</w:t>
      </w:r>
      <w:r>
        <w:rPr>
          <w:b w:val="0"/>
        </w:rPr>
        <w:t>2-12</w:t>
      </w:r>
      <w:r>
        <w:rPr>
          <w:rFonts w:hint="eastAsia"/>
          <w:b w:val="0"/>
        </w:rPr>
        <w:t>同类项目业绩</w:t>
      </w:r>
    </w:p>
    <w:p>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同类项目业绩</w:t>
      </w:r>
    </w:p>
    <w:p>
      <w:pPr>
        <w:rPr>
          <w:rFonts w:hint="eastAsia"/>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5"/>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92"/>
        <w:gridCol w:w="1123"/>
        <w:gridCol w:w="1670"/>
        <w:gridCol w:w="1679"/>
        <w:gridCol w:w="710"/>
        <w:gridCol w:w="129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序号</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用户</w:t>
            </w:r>
          </w:p>
          <w:p>
            <w:pPr>
              <w:jc w:val="center"/>
              <w:rPr>
                <w:bCs/>
              </w:rPr>
            </w:pPr>
            <w:r>
              <w:rPr>
                <w:rFonts w:hint="eastAsia"/>
                <w:bCs/>
              </w:rPr>
              <w:t>名称</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项目</w:t>
            </w:r>
          </w:p>
          <w:p>
            <w:pPr>
              <w:jc w:val="center"/>
              <w:rPr>
                <w:bCs/>
              </w:rPr>
            </w:pPr>
            <w:r>
              <w:rPr>
                <w:rFonts w:hint="eastAsia"/>
                <w:bCs/>
              </w:rPr>
              <w:t>名称</w:t>
            </w: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pPr>
              <w:rPr>
                <w:bCs/>
              </w:rPr>
            </w:pPr>
          </w:p>
        </w:tc>
        <w:tc>
          <w:tcPr>
            <w:tcW w:w="892" w:type="dxa"/>
            <w:tcBorders>
              <w:top w:val="single" w:color="auto" w:sz="4" w:space="0"/>
              <w:left w:val="single" w:color="auto" w:sz="4" w:space="0"/>
              <w:bottom w:val="single" w:color="auto" w:sz="4" w:space="0"/>
              <w:right w:val="single" w:color="auto" w:sz="4" w:space="0"/>
            </w:tcBorders>
          </w:tcPr>
          <w:p>
            <w:pPr>
              <w:rPr>
                <w:bCs/>
              </w:rPr>
            </w:pPr>
          </w:p>
        </w:tc>
        <w:tc>
          <w:tcPr>
            <w:tcW w:w="1123" w:type="dxa"/>
            <w:tcBorders>
              <w:top w:val="single" w:color="auto" w:sz="4" w:space="0"/>
              <w:left w:val="single" w:color="auto" w:sz="4" w:space="0"/>
              <w:bottom w:val="single" w:color="auto" w:sz="4" w:space="0"/>
              <w:right w:val="single" w:color="auto" w:sz="4" w:space="0"/>
            </w:tcBorders>
          </w:tcPr>
          <w:p>
            <w:pPr>
              <w:rPr>
                <w:bCs/>
              </w:rPr>
            </w:pPr>
          </w:p>
        </w:tc>
        <w:tc>
          <w:tcPr>
            <w:tcW w:w="1670" w:type="dxa"/>
            <w:tcBorders>
              <w:top w:val="single" w:color="auto" w:sz="4" w:space="0"/>
              <w:left w:val="single" w:color="auto" w:sz="4" w:space="0"/>
              <w:bottom w:val="single" w:color="auto" w:sz="4" w:space="0"/>
              <w:right w:val="single" w:color="auto" w:sz="4" w:space="0"/>
            </w:tcBorders>
          </w:tcPr>
          <w:p>
            <w:pPr>
              <w:rPr>
                <w:bCs/>
              </w:rPr>
            </w:pPr>
          </w:p>
        </w:tc>
        <w:tc>
          <w:tcPr>
            <w:tcW w:w="1679" w:type="dxa"/>
            <w:tcBorders>
              <w:top w:val="single" w:color="auto" w:sz="4" w:space="0"/>
              <w:left w:val="single" w:color="auto" w:sz="4" w:space="0"/>
              <w:bottom w:val="single" w:color="auto" w:sz="4" w:space="0"/>
              <w:right w:val="single" w:color="auto" w:sz="4" w:space="0"/>
            </w:tcBorders>
          </w:tcPr>
          <w:p>
            <w:pPr>
              <w:rPr>
                <w:bCs/>
              </w:rPr>
            </w:pPr>
          </w:p>
        </w:tc>
        <w:tc>
          <w:tcPr>
            <w:tcW w:w="710" w:type="dxa"/>
            <w:tcBorders>
              <w:top w:val="single" w:color="auto" w:sz="4" w:space="0"/>
              <w:left w:val="single" w:color="auto" w:sz="4" w:space="0"/>
              <w:bottom w:val="single" w:color="auto" w:sz="4" w:space="0"/>
              <w:right w:val="single" w:color="auto" w:sz="4" w:space="0"/>
            </w:tcBorders>
          </w:tcPr>
          <w:p>
            <w:pPr>
              <w:rPr>
                <w:bCs/>
              </w:rPr>
            </w:pPr>
          </w:p>
        </w:tc>
        <w:tc>
          <w:tcPr>
            <w:tcW w:w="1297" w:type="dxa"/>
            <w:tcBorders>
              <w:top w:val="single" w:color="auto" w:sz="4" w:space="0"/>
              <w:left w:val="single" w:color="auto" w:sz="4" w:space="0"/>
              <w:bottom w:val="single" w:color="auto" w:sz="4" w:space="0"/>
              <w:right w:val="single" w:color="auto" w:sz="4" w:space="0"/>
            </w:tcBorders>
          </w:tcPr>
          <w:p>
            <w:pPr>
              <w:rPr>
                <w:bCs/>
              </w:rPr>
            </w:pPr>
          </w:p>
        </w:tc>
        <w:tc>
          <w:tcPr>
            <w:tcW w:w="1137"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pPr>
              <w:rPr>
                <w:bCs/>
              </w:rPr>
            </w:pPr>
          </w:p>
        </w:tc>
        <w:tc>
          <w:tcPr>
            <w:tcW w:w="892" w:type="dxa"/>
            <w:tcBorders>
              <w:top w:val="single" w:color="auto" w:sz="4" w:space="0"/>
              <w:left w:val="single" w:color="auto" w:sz="4" w:space="0"/>
              <w:bottom w:val="single" w:color="auto" w:sz="4" w:space="0"/>
              <w:right w:val="single" w:color="auto" w:sz="4" w:space="0"/>
            </w:tcBorders>
          </w:tcPr>
          <w:p>
            <w:pPr>
              <w:rPr>
                <w:bCs/>
              </w:rPr>
            </w:pPr>
          </w:p>
        </w:tc>
        <w:tc>
          <w:tcPr>
            <w:tcW w:w="1123" w:type="dxa"/>
            <w:tcBorders>
              <w:top w:val="single" w:color="auto" w:sz="4" w:space="0"/>
              <w:left w:val="single" w:color="auto" w:sz="4" w:space="0"/>
              <w:bottom w:val="single" w:color="auto" w:sz="4" w:space="0"/>
              <w:right w:val="single" w:color="auto" w:sz="4" w:space="0"/>
            </w:tcBorders>
          </w:tcPr>
          <w:p>
            <w:pPr>
              <w:rPr>
                <w:bCs/>
              </w:rPr>
            </w:pPr>
          </w:p>
        </w:tc>
        <w:tc>
          <w:tcPr>
            <w:tcW w:w="1670" w:type="dxa"/>
            <w:tcBorders>
              <w:top w:val="single" w:color="auto" w:sz="4" w:space="0"/>
              <w:left w:val="single" w:color="auto" w:sz="4" w:space="0"/>
              <w:bottom w:val="single" w:color="auto" w:sz="4" w:space="0"/>
              <w:right w:val="single" w:color="auto" w:sz="4" w:space="0"/>
            </w:tcBorders>
          </w:tcPr>
          <w:p>
            <w:pPr>
              <w:rPr>
                <w:bCs/>
              </w:rPr>
            </w:pPr>
          </w:p>
        </w:tc>
        <w:tc>
          <w:tcPr>
            <w:tcW w:w="1679" w:type="dxa"/>
            <w:tcBorders>
              <w:top w:val="single" w:color="auto" w:sz="4" w:space="0"/>
              <w:left w:val="single" w:color="auto" w:sz="4" w:space="0"/>
              <w:bottom w:val="single" w:color="auto" w:sz="4" w:space="0"/>
              <w:right w:val="single" w:color="auto" w:sz="4" w:space="0"/>
            </w:tcBorders>
          </w:tcPr>
          <w:p>
            <w:pPr>
              <w:rPr>
                <w:bCs/>
              </w:rPr>
            </w:pPr>
          </w:p>
        </w:tc>
        <w:tc>
          <w:tcPr>
            <w:tcW w:w="710" w:type="dxa"/>
            <w:tcBorders>
              <w:top w:val="single" w:color="auto" w:sz="4" w:space="0"/>
              <w:left w:val="single" w:color="auto" w:sz="4" w:space="0"/>
              <w:bottom w:val="single" w:color="auto" w:sz="4" w:space="0"/>
              <w:right w:val="single" w:color="auto" w:sz="4" w:space="0"/>
            </w:tcBorders>
          </w:tcPr>
          <w:p>
            <w:pPr>
              <w:rPr>
                <w:bCs/>
              </w:rPr>
            </w:pPr>
          </w:p>
        </w:tc>
        <w:tc>
          <w:tcPr>
            <w:tcW w:w="1297" w:type="dxa"/>
            <w:tcBorders>
              <w:top w:val="single" w:color="auto" w:sz="4" w:space="0"/>
              <w:left w:val="single" w:color="auto" w:sz="4" w:space="0"/>
              <w:bottom w:val="single" w:color="auto" w:sz="4" w:space="0"/>
              <w:right w:val="single" w:color="auto" w:sz="4" w:space="0"/>
            </w:tcBorders>
          </w:tcPr>
          <w:p>
            <w:pPr>
              <w:rPr>
                <w:bCs/>
              </w:rPr>
            </w:pPr>
          </w:p>
        </w:tc>
        <w:tc>
          <w:tcPr>
            <w:tcW w:w="1137"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pPr>
              <w:rPr>
                <w:bCs/>
              </w:rPr>
            </w:pPr>
          </w:p>
        </w:tc>
        <w:tc>
          <w:tcPr>
            <w:tcW w:w="892" w:type="dxa"/>
            <w:tcBorders>
              <w:top w:val="single" w:color="auto" w:sz="4" w:space="0"/>
              <w:left w:val="single" w:color="auto" w:sz="4" w:space="0"/>
              <w:bottom w:val="single" w:color="auto" w:sz="4" w:space="0"/>
              <w:right w:val="single" w:color="auto" w:sz="4" w:space="0"/>
            </w:tcBorders>
          </w:tcPr>
          <w:p>
            <w:pPr>
              <w:rPr>
                <w:bCs/>
              </w:rPr>
            </w:pPr>
          </w:p>
        </w:tc>
        <w:tc>
          <w:tcPr>
            <w:tcW w:w="1123" w:type="dxa"/>
            <w:tcBorders>
              <w:top w:val="single" w:color="auto" w:sz="4" w:space="0"/>
              <w:left w:val="single" w:color="auto" w:sz="4" w:space="0"/>
              <w:bottom w:val="single" w:color="auto" w:sz="4" w:space="0"/>
              <w:right w:val="single" w:color="auto" w:sz="4" w:space="0"/>
            </w:tcBorders>
          </w:tcPr>
          <w:p>
            <w:pPr>
              <w:rPr>
                <w:bCs/>
              </w:rPr>
            </w:pPr>
          </w:p>
        </w:tc>
        <w:tc>
          <w:tcPr>
            <w:tcW w:w="1670" w:type="dxa"/>
            <w:tcBorders>
              <w:top w:val="single" w:color="auto" w:sz="4" w:space="0"/>
              <w:left w:val="single" w:color="auto" w:sz="4" w:space="0"/>
              <w:bottom w:val="single" w:color="auto" w:sz="4" w:space="0"/>
              <w:right w:val="single" w:color="auto" w:sz="4" w:space="0"/>
            </w:tcBorders>
          </w:tcPr>
          <w:p>
            <w:pPr>
              <w:rPr>
                <w:bCs/>
              </w:rPr>
            </w:pPr>
          </w:p>
        </w:tc>
        <w:tc>
          <w:tcPr>
            <w:tcW w:w="1679" w:type="dxa"/>
            <w:tcBorders>
              <w:top w:val="single" w:color="auto" w:sz="4" w:space="0"/>
              <w:left w:val="single" w:color="auto" w:sz="4" w:space="0"/>
              <w:bottom w:val="single" w:color="auto" w:sz="4" w:space="0"/>
              <w:right w:val="single" w:color="auto" w:sz="4" w:space="0"/>
            </w:tcBorders>
          </w:tcPr>
          <w:p>
            <w:pPr>
              <w:rPr>
                <w:bCs/>
              </w:rPr>
            </w:pPr>
          </w:p>
        </w:tc>
        <w:tc>
          <w:tcPr>
            <w:tcW w:w="710" w:type="dxa"/>
            <w:tcBorders>
              <w:top w:val="single" w:color="auto" w:sz="4" w:space="0"/>
              <w:left w:val="single" w:color="auto" w:sz="4" w:space="0"/>
              <w:bottom w:val="single" w:color="auto" w:sz="4" w:space="0"/>
              <w:right w:val="single" w:color="auto" w:sz="4" w:space="0"/>
            </w:tcBorders>
          </w:tcPr>
          <w:p>
            <w:pPr>
              <w:rPr>
                <w:bCs/>
              </w:rPr>
            </w:pPr>
          </w:p>
        </w:tc>
        <w:tc>
          <w:tcPr>
            <w:tcW w:w="1297" w:type="dxa"/>
            <w:tcBorders>
              <w:top w:val="single" w:color="auto" w:sz="4" w:space="0"/>
              <w:left w:val="single" w:color="auto" w:sz="4" w:space="0"/>
              <w:bottom w:val="single" w:color="auto" w:sz="4" w:space="0"/>
              <w:right w:val="single" w:color="auto" w:sz="4" w:space="0"/>
            </w:tcBorders>
          </w:tcPr>
          <w:p>
            <w:pPr>
              <w:rPr>
                <w:bCs/>
              </w:rPr>
            </w:pPr>
          </w:p>
        </w:tc>
        <w:tc>
          <w:tcPr>
            <w:tcW w:w="1137" w:type="dxa"/>
            <w:tcBorders>
              <w:top w:val="single" w:color="auto" w:sz="4" w:space="0"/>
              <w:left w:val="single" w:color="auto" w:sz="4" w:space="0"/>
              <w:bottom w:val="single" w:color="auto" w:sz="4" w:space="0"/>
              <w:right w:val="single" w:color="auto" w:sz="4" w:space="0"/>
            </w:tcBorders>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合计</w:t>
            </w:r>
          </w:p>
        </w:tc>
        <w:tc>
          <w:tcPr>
            <w:tcW w:w="892"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670"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297" w:type="dxa"/>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1137" w:type="dxa"/>
            <w:tcBorders>
              <w:top w:val="single" w:color="auto" w:sz="4" w:space="0"/>
              <w:left w:val="single" w:color="auto" w:sz="4" w:space="0"/>
              <w:bottom w:val="single" w:color="auto" w:sz="4" w:space="0"/>
              <w:right w:val="single" w:color="auto" w:sz="4" w:space="0"/>
            </w:tcBorders>
            <w:vAlign w:val="center"/>
          </w:tcPr>
          <w:p>
            <w:pPr>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atLeast"/>
        </w:trPr>
        <w:tc>
          <w:tcPr>
            <w:tcW w:w="9359" w:type="dxa"/>
            <w:gridSpan w:val="8"/>
            <w:tcBorders>
              <w:top w:val="single" w:color="auto" w:sz="4" w:space="0"/>
              <w:left w:val="single" w:color="auto" w:sz="4" w:space="0"/>
              <w:bottom w:val="single" w:color="auto" w:sz="4" w:space="0"/>
              <w:right w:val="single" w:color="auto" w:sz="4" w:space="0"/>
            </w:tcBorders>
            <w:vAlign w:val="center"/>
          </w:tcPr>
          <w:p>
            <w:pPr>
              <w:widowControl/>
              <w:spacing w:line="276" w:lineRule="auto"/>
              <w:ind w:left="-17" w:leftChars="-56" w:hanging="117" w:hangingChars="49"/>
              <w:jc w:val="left"/>
              <w:rPr>
                <w:rFonts w:ascii="宋体" w:hAnsi="宋体"/>
                <w:bCs/>
              </w:rPr>
            </w:pPr>
            <w:r>
              <w:rPr>
                <w:rFonts w:hint="eastAsia" w:ascii="宋体" w:hAnsi="宋体"/>
                <w:bCs/>
              </w:rPr>
              <w:t>备注：</w:t>
            </w:r>
          </w:p>
          <w:p>
            <w:pPr>
              <w:widowControl/>
              <w:spacing w:line="276" w:lineRule="auto"/>
              <w:ind w:firstLine="480" w:firstLineChars="200"/>
              <w:jc w:val="left"/>
              <w:rPr>
                <w:rFonts w:hint="eastAsia" w:ascii="黑体" w:hAnsi="黑体" w:eastAsia="黑体" w:cs="宋体"/>
                <w:bCs/>
              </w:rPr>
            </w:pPr>
            <w:r>
              <w:rPr>
                <w:rFonts w:hint="eastAsia" w:ascii="宋体" w:hAnsi="宋体" w:cs="宋体"/>
                <w:bCs/>
              </w:rPr>
              <w:t>1.同类项目指本次招标的产品或同类产品</w:t>
            </w:r>
            <w:r>
              <w:rPr>
                <w:rFonts w:hint="eastAsia" w:ascii="宋体" w:hAnsi="宋体"/>
                <w:bCs/>
                <w:sz w:val="28"/>
                <w:szCs w:val="28"/>
              </w:rPr>
              <w:t>，</w:t>
            </w:r>
            <w:r>
              <w:rPr>
                <w:rFonts w:hint="eastAsia" w:ascii="宋体" w:hAnsi="宋体" w:cs="宋体"/>
                <w:bCs/>
              </w:rPr>
              <w:t>具体在评审标准中明确范围。合同有效金额是指合同中本次招标的相同产品或同类产品金额。</w:t>
            </w:r>
            <w:r>
              <w:rPr>
                <w:rFonts w:hint="eastAsia" w:ascii="黑体" w:hAnsi="黑体" w:eastAsia="黑体" w:cs="宋体"/>
                <w:bCs/>
              </w:rPr>
              <w:t>该表严格按照《商务评审标准表》明确的相关要求填报。</w:t>
            </w:r>
          </w:p>
          <w:p>
            <w:pPr>
              <w:pStyle w:val="20"/>
              <w:spacing w:line="276" w:lineRule="auto"/>
              <w:ind w:firstLine="480" w:firstLineChars="200"/>
              <w:rPr>
                <w:rFonts w:hint="eastAsia" w:ascii="宋体" w:hAnsi="宋体"/>
                <w:sz w:val="24"/>
              </w:rPr>
            </w:pPr>
            <w:r>
              <w:rPr>
                <w:rFonts w:hint="eastAsia" w:ascii="宋体" w:hAnsi="宋体"/>
                <w:sz w:val="24"/>
              </w:rPr>
              <w:t>2.</w:t>
            </w:r>
            <w:r>
              <w:rPr>
                <w:rFonts w:hint="eastAsia" w:ascii="宋体" w:hAnsi="宋体"/>
                <w:bCs/>
                <w:sz w:val="24"/>
              </w:rPr>
              <w:t>项目内容包括同类项目，产品名称、型号等。</w:t>
            </w:r>
          </w:p>
          <w:p>
            <w:pPr>
              <w:widowControl/>
              <w:spacing w:line="276" w:lineRule="auto"/>
              <w:ind w:firstLine="480" w:firstLineChars="200"/>
              <w:jc w:val="left"/>
              <w:rPr>
                <w:rFonts w:hint="eastAsia" w:ascii="宋体" w:hAnsi="宋体" w:cs="宋体"/>
                <w:bCs/>
              </w:rPr>
            </w:pPr>
            <w:r>
              <w:rPr>
                <w:rFonts w:hint="eastAsia" w:ascii="宋体" w:hAnsi="宋体" w:cs="宋体"/>
                <w:bCs/>
              </w:rPr>
              <w:t>3.“页码”栏中填写业绩材料所在“商务技术文件”中的页码位置。</w:t>
            </w:r>
          </w:p>
          <w:p>
            <w:pPr>
              <w:widowControl/>
              <w:spacing w:line="276" w:lineRule="auto"/>
              <w:ind w:firstLine="480" w:firstLineChars="200"/>
              <w:jc w:val="left"/>
              <w:rPr>
                <w:rFonts w:hint="eastAsia" w:ascii="宋体" w:hAnsi="宋体" w:cs="宋体"/>
                <w:bCs/>
              </w:rPr>
            </w:pPr>
            <w:r>
              <w:rPr>
                <w:rFonts w:hint="eastAsia" w:ascii="宋体" w:hAnsi="宋体" w:cs="宋体"/>
                <w:bCs/>
              </w:rPr>
              <w:t>4.合同缔约方存在控股或管理关系的，该合同无效。</w:t>
            </w:r>
          </w:p>
          <w:p>
            <w:pPr>
              <w:widowControl/>
              <w:spacing w:line="276" w:lineRule="auto"/>
              <w:ind w:firstLine="480" w:firstLineChars="200"/>
              <w:jc w:val="left"/>
              <w:rPr>
                <w:rFonts w:hint="eastAsia" w:ascii="宋体" w:hAnsi="宋体" w:cs="宋体"/>
                <w:bCs/>
              </w:rPr>
            </w:pPr>
            <w:r>
              <w:rPr>
                <w:rFonts w:hint="eastAsia" w:ascii="宋体" w:hAnsi="宋体" w:cs="宋体"/>
                <w:bCs/>
              </w:rPr>
              <w:t>5.投标供应商提供虚假合同的，按虚假投标处理。</w:t>
            </w:r>
          </w:p>
          <w:p>
            <w:pPr>
              <w:ind w:firstLine="480" w:firstLineChars="200"/>
              <w:jc w:val="left"/>
              <w:rPr>
                <w:rFonts w:hint="eastAsia"/>
                <w:bCs/>
              </w:rPr>
            </w:pPr>
            <w:r>
              <w:rPr>
                <w:rFonts w:hint="eastAsia" w:ascii="宋体" w:hAnsi="宋体"/>
              </w:rPr>
              <w:t>6.合同中涉及总价、单价、规格、</w:t>
            </w:r>
            <w:r>
              <w:rPr>
                <w:rFonts w:hint="eastAsia" w:ascii="宋体" w:hAnsi="宋体" w:cs="宋体"/>
                <w:bCs/>
              </w:rPr>
              <w:t>缔约方</w:t>
            </w:r>
            <w:r>
              <w:rPr>
                <w:rFonts w:hint="eastAsia" w:ascii="宋体" w:hAnsi="宋体"/>
              </w:rPr>
              <w:t>签字盖章等关键信息应当清晰可辨，否则视为无效合同。</w:t>
            </w:r>
          </w:p>
        </w:tc>
      </w:tr>
    </w:tbl>
    <w:p>
      <w:pPr>
        <w:pStyle w:val="20"/>
        <w:widowControl/>
        <w:spacing w:line="560" w:lineRule="exact"/>
        <w:ind w:firstLine="560" w:firstLineChars="200"/>
        <w:jc w:val="left"/>
        <w:rPr>
          <w:bCs/>
          <w:kern w:val="2"/>
          <w:sz w:val="28"/>
          <w:szCs w:val="28"/>
          <w:lang w:val="zh-CN"/>
        </w:rPr>
      </w:pPr>
    </w:p>
    <w:p>
      <w:pPr>
        <w:spacing w:line="560" w:lineRule="exact"/>
        <w:ind w:firstLine="560" w:firstLineChars="200"/>
        <w:jc w:val="center"/>
        <w:rPr>
          <w:bCs/>
          <w:sz w:val="28"/>
          <w:szCs w:val="28"/>
        </w:rPr>
      </w:pPr>
      <w:r>
        <w:rPr>
          <w:bCs/>
          <w:sz w:val="28"/>
          <w:szCs w:val="28"/>
          <w:lang w:val="zh-CN"/>
        </w:rPr>
        <w:t xml:space="preserve"> </w:t>
      </w:r>
    </w:p>
    <w:p>
      <w:pPr>
        <w:spacing w:line="560" w:lineRule="exact"/>
        <w:ind w:firstLine="6160" w:firstLineChars="2200"/>
        <w:rPr>
          <w:rFonts w:eastAsia="黑体"/>
          <w:bCs/>
          <w:sz w:val="28"/>
          <w:szCs w:val="28"/>
        </w:rPr>
      </w:pPr>
      <w:r>
        <w:rPr>
          <w:bCs/>
          <w:sz w:val="28"/>
          <w:szCs w:val="28"/>
        </w:rPr>
        <w:br w:type="page"/>
      </w:r>
    </w:p>
    <w:p>
      <w:pPr>
        <w:pStyle w:val="8"/>
        <w:spacing w:before="120" w:beforeLines="50" w:after="120" w:afterLines="50"/>
        <w:rPr>
          <w:b w:val="0"/>
          <w:snapToGrid w:val="0"/>
          <w:lang w:val="zh-CN"/>
        </w:rPr>
      </w:pPr>
      <w:r>
        <w:rPr>
          <w:rFonts w:hint="eastAsia"/>
          <w:b w:val="0"/>
        </w:rPr>
        <w:t>附件</w:t>
      </w:r>
      <w:r>
        <w:rPr>
          <w:b w:val="0"/>
        </w:rPr>
        <w:t xml:space="preserve">2-13 </w:t>
      </w:r>
      <w:r>
        <w:rPr>
          <w:rFonts w:hint="eastAsia"/>
          <w:b w:val="0"/>
        </w:rPr>
        <w:t>财务社保数据统计表</w:t>
      </w:r>
    </w:p>
    <w:tbl>
      <w:tblPr>
        <w:tblStyle w:val="45"/>
        <w:tblW w:w="9375" w:type="dxa"/>
        <w:tblInd w:w="0" w:type="dxa"/>
        <w:tblLayout w:type="fixed"/>
        <w:tblCellMar>
          <w:top w:w="0" w:type="dxa"/>
          <w:left w:w="0" w:type="dxa"/>
          <w:bottom w:w="0" w:type="dxa"/>
          <w:right w:w="0" w:type="dxa"/>
        </w:tblCellMar>
      </w:tblPr>
      <w:tblGrid>
        <w:gridCol w:w="2571"/>
        <w:gridCol w:w="1276"/>
        <w:gridCol w:w="1275"/>
        <w:gridCol w:w="1276"/>
        <w:gridCol w:w="1276"/>
        <w:gridCol w:w="1701"/>
      </w:tblGrid>
      <w:tr>
        <w:tblPrEx>
          <w:tblCellMar>
            <w:top w:w="0" w:type="dxa"/>
            <w:left w:w="0" w:type="dxa"/>
            <w:bottom w:w="0" w:type="dxa"/>
            <w:right w:w="0" w:type="dxa"/>
          </w:tblCellMar>
        </w:tblPrEx>
        <w:trPr>
          <w:trHeight w:val="687" w:hRule="atLeast"/>
        </w:trPr>
        <w:tc>
          <w:tcPr>
            <w:tcW w:w="9373" w:type="dxa"/>
            <w:gridSpan w:val="6"/>
            <w:tcMar>
              <w:top w:w="17" w:type="dxa"/>
              <w:left w:w="17" w:type="dxa"/>
              <w:bottom w:w="0" w:type="dxa"/>
              <w:right w:w="17" w:type="dxa"/>
            </w:tcMar>
            <w:vAlign w:val="center"/>
          </w:tcPr>
          <w:p>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hint="eastAsia" w:ascii="宋体" w:hAnsi="宋体"/>
                <w:bCs/>
              </w:rPr>
            </w:pPr>
            <w:r>
              <w:rPr>
                <w:rFonts w:hint="eastAsia"/>
                <w:sz w:val="21"/>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-12065</wp:posOffset>
                      </wp:positionV>
                      <wp:extent cx="1616075" cy="553085"/>
                      <wp:effectExtent l="0" t="0" r="22225" b="37465"/>
                      <wp:wrapNone/>
                      <wp:docPr id="6"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直接箭头连接符 5" o:spid="_x0000_s1026" o:spt="32" type="#_x0000_t32" style="position:absolute;left:0pt;margin-left:0.5pt;margin-top:-0.95pt;height:43.55pt;width:127.25pt;z-index:251659264;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hFhMjWAAAABwEAAA8AAAAAAAAAAQAgAAAAIgAAAGRycy9kb3ducmV2Lnht&#10;bFBLAQIUABQAAAAIAIdO4kCKzSl3+wEAAMMDAAAOAAAAAAAAAAEAIAAAACUBAABkcnMvZTJvRG9j&#10;LnhtbFBLBQYAAAAABgAGAFkBAACSBQAAAAA=&#10;">
                      <v:fill on="f" focussize="0,0"/>
                      <v:stroke color="#000000" joinstyle="round"/>
                      <v:imagedata o:title=""/>
                      <o:lock v:ext="edit" aspectratio="f"/>
                    </v:shape>
                  </w:pict>
                </mc:Fallback>
              </mc:AlternateContent>
            </w:r>
            <w:r>
              <w:rPr>
                <w:rFonts w:hint="eastAsia" w:ascii="宋体" w:hAnsi="宋体"/>
                <w:bCs/>
              </w:rPr>
              <w:t xml:space="preserve">                年 度</w:t>
            </w:r>
            <w:r>
              <w:rPr>
                <w:rFonts w:hint="eastAsia" w:ascii="宋体" w:hAnsi="宋体"/>
                <w:bCs/>
              </w:rPr>
              <w:br w:type="textWrapping"/>
            </w:r>
            <w:r>
              <w:rPr>
                <w:rFonts w:hint="eastAsia" w:ascii="宋体" w:hAnsi="宋体"/>
                <w:bCs/>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cs="宋体"/>
                <w:bCs/>
              </w:rPr>
            </w:pPr>
            <w:r>
              <w:rPr>
                <w:rFonts w:hint="eastAsia" w:ascii="宋体" w:hAnsi="宋体"/>
                <w:bCs/>
                <w:u w:val="single"/>
              </w:rPr>
              <w:t xml:space="preserve">    </w:t>
            </w:r>
            <w:r>
              <w:rPr>
                <w:rFonts w:hint="eastAsia" w:ascii="宋体" w:hAnsi="宋体"/>
                <w:bCs/>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cs="宋体"/>
                <w:bCs/>
              </w:rPr>
            </w:pPr>
            <w:r>
              <w:rPr>
                <w:rFonts w:hint="eastAsia" w:ascii="宋体" w:hAnsi="宋体"/>
                <w:bCs/>
                <w:u w:val="single"/>
              </w:rPr>
              <w:t xml:space="preserve">    </w:t>
            </w:r>
            <w:r>
              <w:rPr>
                <w:rFonts w:hint="eastAsia" w:ascii="宋体" w:hAnsi="宋体"/>
                <w:bCs/>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cs="宋体"/>
                <w:bCs/>
              </w:rPr>
            </w:pPr>
            <w:r>
              <w:rPr>
                <w:rFonts w:hint="eastAsia" w:ascii="宋体" w:hAnsi="宋体"/>
                <w:bCs/>
                <w:u w:val="single"/>
              </w:rPr>
              <w:t xml:space="preserve">    </w:t>
            </w:r>
            <w:r>
              <w:rPr>
                <w:rFonts w:hint="eastAsia" w:ascii="宋体" w:hAnsi="宋体"/>
                <w:bCs/>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cs="宋体"/>
                <w:bCs/>
              </w:rPr>
            </w:pPr>
            <w:r>
              <w:rPr>
                <w:rFonts w:hint="eastAsia" w:ascii="宋体" w:hAnsi="宋体"/>
                <w:bCs/>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bCs/>
              </w:rPr>
            </w:pPr>
            <w:r>
              <w:rPr>
                <w:rFonts w:hint="eastAsia" w:ascii="宋体" w:hAnsi="宋体"/>
                <w:bCs/>
              </w:rPr>
              <w:t>文件名称</w:t>
            </w:r>
          </w:p>
          <w:p>
            <w:pPr>
              <w:jc w:val="center"/>
              <w:rPr>
                <w:rFonts w:hint="eastAsia" w:ascii="宋体" w:hAnsi="宋体" w:cs="宋体"/>
                <w:bCs/>
              </w:rPr>
            </w:pPr>
            <w:r>
              <w:rPr>
                <w:rFonts w:hint="eastAsia" w:ascii="宋体" w:hAnsi="宋体"/>
                <w:bCs/>
              </w:rPr>
              <w:t>∕页码</w:t>
            </w:r>
          </w:p>
        </w:tc>
      </w:tr>
      <w:tr>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宋体" w:hAnsi="宋体" w:cs="宋体"/>
                <w:bCs/>
              </w:rPr>
            </w:pPr>
            <w:r>
              <w:rPr>
                <w:rFonts w:hint="eastAsia"/>
                <w:bCs/>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hint="eastAsia"/>
                <w:bCs/>
              </w:rPr>
            </w:pPr>
            <w:r>
              <w:rPr>
                <w:rFonts w:hint="eastAsia"/>
                <w:bCs/>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rPr>
            </w:pPr>
            <w:r>
              <w:rPr>
                <w:rFonts w:hint="eastAsia"/>
                <w:bCs/>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hint="eastAsia"/>
                <w:bCs/>
              </w:rPr>
            </w:pPr>
            <w:r>
              <w:rPr>
                <w:rFonts w:hint="eastAsia"/>
                <w:bCs/>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rPr>
            </w:pPr>
            <w:r>
              <w:rPr>
                <w:rFonts w:hint="eastAsia"/>
                <w:bCs/>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hint="eastAsia"/>
                <w:bCs/>
              </w:rPr>
            </w:pPr>
            <w:r>
              <w:rPr>
                <w:rFonts w:hint="eastAsia"/>
                <w:bCs/>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rPr>
            </w:pPr>
            <w:r>
              <w:rPr>
                <w:rFonts w:hint="eastAsia"/>
                <w:bCs/>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hint="eastAsia"/>
                <w:bCs/>
              </w:rPr>
            </w:pPr>
            <w:r>
              <w:rPr>
                <w:rFonts w:hint="eastAsia"/>
                <w:bCs/>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rPr>
            </w:pPr>
            <w:r>
              <w:rPr>
                <w:rFonts w:hint="eastAsia"/>
                <w:bCs/>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rFonts w:hint="eastAsia"/>
                <w:bCs/>
              </w:rPr>
            </w:pPr>
            <w:r>
              <w:rPr>
                <w:rFonts w:hint="eastAsia"/>
                <w:bCs/>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ind w:firstLine="240" w:firstLineChars="100"/>
              <w:rPr>
                <w:bCs/>
              </w:rPr>
            </w:pPr>
            <w:r>
              <w:rPr>
                <w:rFonts w:hint="eastAsia" w:ascii="黑体" w:hAnsi="黑体" w:eastAsia="黑体"/>
                <w:bCs/>
                <w:u w:val="single"/>
              </w:rPr>
              <w:t xml:space="preserve">    </w:t>
            </w:r>
            <w:r>
              <w:rPr>
                <w:rFonts w:hint="eastAsia"/>
                <w:bCs/>
              </w:rPr>
              <w:t>年度纳税总金额</w:t>
            </w:r>
          </w:p>
          <w:p>
            <w:pPr>
              <w:ind w:firstLine="468"/>
              <w:jc w:val="center"/>
              <w:rPr>
                <w:rFonts w:ascii="宋体" w:hAnsi="宋体" w:cs="宋体"/>
                <w:bCs/>
              </w:rPr>
            </w:pPr>
            <w:r>
              <w:rPr>
                <w:rFonts w:hint="eastAsia"/>
                <w:bCs/>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rPr>
            </w:pPr>
            <w:r>
              <w:rPr>
                <w:rFonts w:hint="eastAsia" w:ascii="黑体" w:hAnsi="黑体" w:eastAsia="黑体"/>
                <w:bCs/>
                <w:u w:val="single"/>
              </w:rPr>
              <w:t xml:space="preserve">    </w:t>
            </w:r>
            <w:r>
              <w:rPr>
                <w:rFonts w:hint="eastAsia"/>
                <w:bCs/>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rPr>
                <w:rFonts w:ascii="宋体" w:hAnsi="宋体" w:cs="宋体"/>
                <w:bCs/>
              </w:rPr>
            </w:pPr>
            <w:r>
              <w:rPr>
                <w:rFonts w:hint="eastAsia" w:ascii="黑体" w:hAnsi="黑体" w:eastAsia="黑体"/>
                <w:bCs/>
                <w:u w:val="single"/>
              </w:rPr>
              <w:t xml:space="preserve">    </w:t>
            </w:r>
            <w:r>
              <w:rPr>
                <w:rFonts w:hint="eastAsia"/>
                <w:bCs/>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宋体" w:hAnsi="宋体" w:cs="宋体"/>
                <w:bCs/>
              </w:rPr>
            </w:pPr>
            <w:r>
              <w:rPr>
                <w:rFonts w:hint="eastAsia" w:ascii="黑体" w:hAnsi="黑体" w:eastAsia="黑体"/>
                <w:bCs/>
                <w:u w:val="single"/>
              </w:rPr>
              <w:t xml:space="preserve">    </w:t>
            </w:r>
            <w:r>
              <w:rPr>
                <w:rFonts w:hint="eastAsia"/>
                <w:bCs/>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jc w:val="center"/>
              <w:rPr>
                <w:rFonts w:hint="eastAsia"/>
                <w:bCs/>
              </w:rPr>
            </w:pPr>
            <w:r>
              <w:rPr>
                <w:rFonts w:hint="eastAsia"/>
                <w:bCs/>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rPr>
                <w:bCs/>
              </w:rPr>
            </w:pPr>
            <w:r>
              <w:rPr>
                <w:rFonts w:hint="eastAsia"/>
                <w:bCs/>
              </w:rPr>
              <w:t>　</w:t>
            </w:r>
          </w:p>
        </w:tc>
      </w:tr>
      <w:tr>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276" w:lineRule="auto"/>
              <w:rPr>
                <w:bCs/>
              </w:rPr>
            </w:pPr>
            <w:r>
              <w:rPr>
                <w:rFonts w:hint="eastAsia"/>
                <w:bCs/>
              </w:rPr>
              <w:t>说明：</w:t>
            </w:r>
          </w:p>
          <w:p>
            <w:pPr>
              <w:spacing w:line="276" w:lineRule="auto"/>
              <w:ind w:firstLine="480" w:firstLineChars="200"/>
              <w:rPr>
                <w:rFonts w:ascii="宋体" w:hAnsi="宋体"/>
                <w:bCs/>
                <w:i/>
                <w:iCs/>
              </w:rPr>
            </w:pPr>
            <w:r>
              <w:rPr>
                <w:rFonts w:hint="eastAsia" w:ascii="宋体" w:hAnsi="宋体"/>
                <w:bCs/>
                <w:i/>
                <w:iCs/>
              </w:rPr>
              <w:t>1.采购机构根据评审标准具体内容确定本表具体项目。</w:t>
            </w:r>
          </w:p>
          <w:p>
            <w:pPr>
              <w:spacing w:line="276" w:lineRule="auto"/>
              <w:ind w:firstLine="480" w:firstLineChars="200"/>
              <w:rPr>
                <w:rFonts w:hint="eastAsia" w:ascii="宋体" w:hAnsi="宋体"/>
                <w:bCs/>
              </w:rPr>
            </w:pPr>
            <w:r>
              <w:rPr>
                <w:rFonts w:hint="eastAsia" w:ascii="宋体" w:hAnsi="宋体"/>
                <w:bCs/>
              </w:rPr>
              <w:t>2.纳税和社保情况依据税务（社保）</w:t>
            </w:r>
            <w:r>
              <w:rPr>
                <w:rFonts w:hint="eastAsia" w:ascii="宋体" w:hAnsi="宋体"/>
              </w:rPr>
              <w:t>部门或银行出具的相关凭证如实填写</w:t>
            </w:r>
            <w:r>
              <w:rPr>
                <w:rFonts w:hint="eastAsia" w:ascii="宋体" w:hAnsi="宋体"/>
                <w:bCs/>
              </w:rPr>
              <w:t>，相关凭证复印件附后。其他内容依据会计师事务所出具的《审计报告》中相关数据如实填写。</w:t>
            </w:r>
          </w:p>
          <w:p>
            <w:pPr>
              <w:spacing w:line="276" w:lineRule="auto"/>
              <w:ind w:firstLine="480" w:firstLineChars="200"/>
              <w:rPr>
                <w:rFonts w:hint="eastAsia" w:ascii="宋体" w:hAnsi="宋体"/>
                <w:bCs/>
              </w:rPr>
            </w:pPr>
            <w:r>
              <w:rPr>
                <w:rFonts w:hint="eastAsia" w:ascii="宋体" w:hAnsi="宋体"/>
                <w:bCs/>
              </w:rPr>
              <w:t>3.“页码”栏中填写数据所在《商务技术文件》或《资格证明文件》中的页码位置。</w:t>
            </w:r>
          </w:p>
          <w:p>
            <w:pPr>
              <w:spacing w:line="276" w:lineRule="auto"/>
              <w:ind w:firstLine="480" w:firstLineChars="200"/>
              <w:rPr>
                <w:rFonts w:hint="eastAsia" w:ascii="宋体" w:hAnsi="宋体" w:cs="宋体"/>
                <w:bCs/>
              </w:rPr>
            </w:pPr>
            <w:r>
              <w:rPr>
                <w:rFonts w:hint="eastAsia" w:ascii="宋体" w:hAnsi="宋体"/>
                <w:bCs/>
              </w:rPr>
              <w:t>4.评审委员会审核发现《财务社保数据统计表》与《审计报告》等证明材料中数据不一致的，以证明材料实际数据为准。</w:t>
            </w:r>
          </w:p>
        </w:tc>
      </w:tr>
    </w:tbl>
    <w:p>
      <w:pPr>
        <w:pStyle w:val="8"/>
        <w:spacing w:before="120" w:beforeLines="50" w:after="120" w:afterLines="50"/>
        <w:rPr>
          <w:rFonts w:hint="eastAsia"/>
          <w:b w:val="0"/>
        </w:rPr>
      </w:pPr>
      <w:r>
        <w:rPr>
          <w:bCs w:val="0"/>
          <w:snapToGrid w:val="0"/>
        </w:rPr>
        <w:br w:type="page"/>
      </w:r>
      <w:r>
        <w:rPr>
          <w:rFonts w:hint="eastAsia"/>
          <w:b w:val="0"/>
        </w:rPr>
        <w:t>附件</w:t>
      </w:r>
      <w:r>
        <w:rPr>
          <w:b w:val="0"/>
        </w:rPr>
        <w:t>2-14</w:t>
      </w:r>
      <w:r>
        <w:rPr>
          <w:rFonts w:hint="eastAsia"/>
          <w:b w:val="0"/>
        </w:rPr>
        <w:t>其他</w:t>
      </w:r>
      <w:r>
        <w:rPr>
          <w:rFonts w:hint="eastAsia" w:ascii="宋体" w:hAnsi="宋体"/>
          <w:b w:val="0"/>
        </w:rPr>
        <w:t>材料</w:t>
      </w:r>
      <w:bookmarkEnd w:id="363"/>
      <w:bookmarkEnd w:id="364"/>
      <w:bookmarkEnd w:id="365"/>
      <w:bookmarkEnd w:id="366"/>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rFonts w:hint="eastAsia"/>
          <w:bCs/>
          <w:sz w:val="28"/>
          <w:szCs w:val="28"/>
        </w:rPr>
      </w:pPr>
      <w:r>
        <w:rPr>
          <w:rFonts w:hint="eastAsia"/>
          <w:bCs/>
          <w:sz w:val="28"/>
          <w:szCs w:val="28"/>
        </w:rPr>
        <w:t>（投标供应商根据评审内容，自行添加其他资料）</w:t>
      </w: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jc w:val="center"/>
        <w:rPr>
          <w:bCs/>
          <w:sz w:val="36"/>
          <w:szCs w:val="36"/>
        </w:rPr>
      </w:pPr>
    </w:p>
    <w:p>
      <w:pPr>
        <w:widowControl/>
        <w:jc w:val="left"/>
        <w:rPr>
          <w:bCs/>
          <w:sz w:val="48"/>
          <w:szCs w:val="48"/>
        </w:rPr>
      </w:pPr>
      <w:r>
        <w:rPr>
          <w:bCs/>
          <w:sz w:val="48"/>
          <w:szCs w:val="48"/>
        </w:rPr>
        <w:br w:type="page"/>
      </w:r>
    </w:p>
    <w:p>
      <w:pPr>
        <w:spacing w:before="600" w:beforeLines="250" w:after="960" w:afterLines="400" w:line="360" w:lineRule="auto"/>
        <w:jc w:val="center"/>
        <w:rPr>
          <w:rFonts w:ascii="方正小标宋简体" w:eastAsia="方正小标宋简体"/>
          <w:bCs/>
          <w:sz w:val="48"/>
          <w:szCs w:val="48"/>
        </w:rPr>
      </w:pPr>
    </w:p>
    <w:p>
      <w:pPr>
        <w:spacing w:before="600" w:beforeLines="250" w:line="480" w:lineRule="auto"/>
        <w:jc w:val="center"/>
        <w:rPr>
          <w:rFonts w:hint="eastAsia" w:ascii="方正小标宋简体" w:eastAsia="方正小标宋简体"/>
          <w:bCs/>
          <w:sz w:val="44"/>
          <w:szCs w:val="44"/>
        </w:rPr>
      </w:pPr>
      <w:r>
        <w:rPr>
          <w:rFonts w:hint="eastAsia" w:ascii="方正小标宋简体" w:eastAsia="方正小标宋简体"/>
          <w:bCs/>
          <w:sz w:val="48"/>
          <w:szCs w:val="48"/>
        </w:rPr>
        <w:t>军队物资类项目公开招标</w:t>
      </w:r>
    </w:p>
    <w:p>
      <w:pPr>
        <w:spacing w:after="480" w:afterLines="200"/>
        <w:jc w:val="center"/>
        <w:rPr>
          <w:rFonts w:hint="eastAsia" w:ascii="方正小标宋简体" w:eastAsia="方正小标宋简体"/>
          <w:bCs/>
          <w:sz w:val="21"/>
        </w:rPr>
      </w:pPr>
      <w:r>
        <w:rPr>
          <w:rFonts w:hint="eastAsia" w:ascii="方正小标宋简体" w:eastAsia="方正小标宋简体"/>
          <w:bCs/>
          <w:sz w:val="84"/>
          <w:szCs w:val="84"/>
        </w:rPr>
        <w:t>投 标 文 件</w:t>
      </w:r>
    </w:p>
    <w:p>
      <w:pPr>
        <w:pStyle w:val="7"/>
        <w:numPr>
          <w:ilvl w:val="2"/>
          <w:numId w:val="0"/>
        </w:numPr>
        <w:tabs>
          <w:tab w:val="clear" w:pos="1820"/>
        </w:tabs>
        <w:ind w:firstLine="2600" w:firstLineChars="500"/>
        <w:jc w:val="both"/>
        <w:rPr>
          <w:rFonts w:hint="eastAsia" w:ascii="方正小标宋简体" w:eastAsia="方正小标宋简体"/>
          <w:b w:val="0"/>
          <w:sz w:val="52"/>
          <w:szCs w:val="52"/>
        </w:rPr>
      </w:pPr>
      <w:bookmarkStart w:id="367" w:name="_Toc132190622"/>
      <w:r>
        <w:rPr>
          <w:rFonts w:hint="eastAsia" w:ascii="方正小标宋简体" w:eastAsia="方正小标宋简体"/>
          <w:b w:val="0"/>
          <w:sz w:val="52"/>
          <w:szCs w:val="52"/>
        </w:rPr>
        <w:t>三、资格证明文件</w:t>
      </w:r>
      <w:bookmarkEnd w:id="367"/>
    </w:p>
    <w:p>
      <w:pPr>
        <w:adjustRightInd w:val="0"/>
        <w:snapToGrid w:val="0"/>
        <w:spacing w:line="360" w:lineRule="auto"/>
        <w:rPr>
          <w:rFonts w:hint="eastAsia" w:ascii="方正小标宋简体" w:hAnsi="黑体" w:eastAsia="方正小标宋简体"/>
          <w:bCs/>
          <w:sz w:val="32"/>
          <w:szCs w:val="32"/>
        </w:rPr>
      </w:pP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pPr>
        <w:spacing w:line="560" w:lineRule="exact"/>
        <w:ind w:firstLine="2160" w:firstLineChars="600"/>
        <w:rPr>
          <w:rFonts w:hint="eastAsia" w:ascii="方正小标宋简体" w:eastAsia="方正小标宋简体"/>
          <w:bCs/>
          <w:sz w:val="36"/>
          <w:szCs w:val="36"/>
        </w:rPr>
      </w:pPr>
      <w:r>
        <w:rPr>
          <w:rFonts w:hint="eastAsia" w:ascii="方正小标宋简体" w:eastAsia="方正小标宋简体"/>
          <w:bCs/>
          <w:sz w:val="36"/>
          <w:szCs w:val="36"/>
        </w:rPr>
        <w:t>包    号：</w:t>
      </w:r>
      <w:r>
        <w:rPr>
          <w:rFonts w:hint="eastAsia" w:ascii="方正小标宋简体" w:eastAsia="方正小标宋简体"/>
          <w:bCs/>
          <w:sz w:val="36"/>
          <w:szCs w:val="36"/>
          <w:u w:val="single"/>
        </w:rPr>
        <w:t xml:space="preserve">                </w:t>
      </w:r>
    </w:p>
    <w:p>
      <w:pPr>
        <w:jc w:val="center"/>
        <w:rPr>
          <w:rFonts w:hint="eastAsia" w:ascii="方正小标宋简体" w:eastAsia="方正小标宋简体"/>
          <w:bCs/>
          <w:sz w:val="36"/>
          <w:szCs w:val="36"/>
        </w:rPr>
      </w:pPr>
    </w:p>
    <w:p>
      <w:pPr>
        <w:jc w:val="center"/>
        <w:rPr>
          <w:rFonts w:hint="eastAsia" w:ascii="方正小标宋简体" w:eastAsia="方正小标宋简体"/>
          <w:bCs/>
          <w:sz w:val="36"/>
          <w:szCs w:val="36"/>
        </w:rPr>
      </w:pPr>
    </w:p>
    <w:p>
      <w:pPr>
        <w:ind w:firstLine="720" w:firstLineChars="200"/>
        <w:jc w:val="center"/>
        <w:rPr>
          <w:rFonts w:hint="eastAsia"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720" w:firstLineChars="200"/>
        <w:jc w:val="center"/>
        <w:rPr>
          <w:rFonts w:hint="eastAsia" w:ascii="方正小标宋简体" w:hAnsi="宋体" w:eastAsia="方正小标宋简体"/>
          <w:bCs/>
          <w:sz w:val="21"/>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564" w:firstLineChars="235"/>
        <w:jc w:val="left"/>
        <w:rPr>
          <w:rFonts w:hint="eastAsia" w:ascii="宋体" w:hAnsi="宋体"/>
          <w:bCs/>
        </w:rPr>
      </w:pPr>
    </w:p>
    <w:p>
      <w:pPr>
        <w:spacing w:line="400" w:lineRule="exact"/>
        <w:ind w:firstLine="564" w:firstLineChars="235"/>
        <w:jc w:val="left"/>
        <w:rPr>
          <w:rFonts w:hint="eastAsia" w:ascii="宋体" w:hAnsi="宋体"/>
          <w:bCs/>
        </w:rPr>
      </w:pPr>
    </w:p>
    <w:p>
      <w:pPr>
        <w:spacing w:line="400" w:lineRule="exact"/>
        <w:ind w:firstLine="564" w:firstLineChars="235"/>
        <w:jc w:val="left"/>
        <w:rPr>
          <w:rFonts w:hint="eastAsia" w:ascii="宋体" w:hAnsi="宋体"/>
          <w:bCs/>
        </w:rPr>
      </w:pPr>
    </w:p>
    <w:p>
      <w:pPr>
        <w:pStyle w:val="8"/>
        <w:spacing w:before="120" w:beforeLines="50" w:after="120" w:afterLines="50"/>
        <w:rPr>
          <w:rFonts w:hint="eastAsia"/>
          <w:b w:val="0"/>
          <w:lang w:val="zh-CN"/>
        </w:rPr>
      </w:pPr>
      <w:bookmarkStart w:id="368" w:name="_Toc6540"/>
      <w:bookmarkStart w:id="369" w:name="_Toc19491"/>
      <w:bookmarkStart w:id="370" w:name="_Toc29799"/>
      <w:bookmarkStart w:id="371" w:name="_Toc5900"/>
      <w:r>
        <w:rPr>
          <w:rFonts w:hint="eastAsia"/>
          <w:b w:val="0"/>
        </w:rPr>
        <w:t>附件</w:t>
      </w:r>
      <w:r>
        <w:rPr>
          <w:b w:val="0"/>
        </w:rPr>
        <w:t xml:space="preserve">3-1 </w:t>
      </w:r>
      <w:r>
        <w:rPr>
          <w:rFonts w:hint="eastAsia"/>
          <w:b w:val="0"/>
        </w:rPr>
        <w:t>资格证明文件索引表</w:t>
      </w:r>
      <w:bookmarkEnd w:id="368"/>
      <w:bookmarkEnd w:id="369"/>
      <w:bookmarkEnd w:id="370"/>
      <w:bookmarkEnd w:id="371"/>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pPr>
        <w:spacing w:line="400" w:lineRule="exact"/>
        <w:rPr>
          <w:rFonts w:hint="eastAsia"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5"/>
        <w:tblW w:w="5000" w:type="pct"/>
        <w:jc w:val="center"/>
        <w:tblLayout w:type="autofit"/>
        <w:tblCellMar>
          <w:top w:w="0" w:type="dxa"/>
          <w:left w:w="108" w:type="dxa"/>
          <w:bottom w:w="0" w:type="dxa"/>
          <w:right w:w="108" w:type="dxa"/>
        </w:tblCellMar>
      </w:tblPr>
      <w:tblGrid>
        <w:gridCol w:w="798"/>
        <w:gridCol w:w="6923"/>
        <w:gridCol w:w="1627"/>
        <w:gridCol w:w="222"/>
      </w:tblGrid>
      <w:tr>
        <w:tblPrEx>
          <w:tblCellMar>
            <w:top w:w="0" w:type="dxa"/>
            <w:left w:w="108" w:type="dxa"/>
            <w:bottom w:w="0" w:type="dxa"/>
            <w:right w:w="108" w:type="dxa"/>
          </w:tblCellMar>
        </w:tblPrEx>
        <w:trPr>
          <w:gridAfter w:val="1"/>
          <w:wAfter w:w="222" w:type="dxa"/>
          <w:trHeight w:val="549" w:hRule="atLeast"/>
          <w:jc w:val="center"/>
        </w:trPr>
        <w:tc>
          <w:tcPr>
            <w:tcW w:w="42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r>
              <w:rPr>
                <w:rFonts w:hint="eastAsia"/>
                <w:bCs/>
              </w:rPr>
              <w:t>序号</w:t>
            </w:r>
          </w:p>
        </w:tc>
        <w:tc>
          <w:tcPr>
            <w:tcW w:w="3703"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资格性审查项目</w:t>
            </w:r>
          </w:p>
        </w:tc>
        <w:tc>
          <w:tcPr>
            <w:tcW w:w="870" w:type="pct"/>
            <w:vMerge w:val="restart"/>
            <w:tcBorders>
              <w:top w:val="single" w:color="auto" w:sz="4" w:space="0"/>
              <w:left w:val="nil"/>
              <w:bottom w:val="single" w:color="auto" w:sz="4" w:space="0"/>
              <w:right w:val="single" w:color="auto" w:sz="4" w:space="0"/>
            </w:tcBorders>
            <w:vAlign w:val="center"/>
          </w:tcPr>
          <w:p>
            <w:pPr>
              <w:jc w:val="center"/>
              <w:rPr>
                <w:bCs/>
              </w:rPr>
            </w:pPr>
            <w:r>
              <w:rPr>
                <w:rFonts w:hint="eastAsia"/>
                <w:bCs/>
              </w:rPr>
              <w:t>资格证明文件位置页码</w:t>
            </w:r>
          </w:p>
        </w:tc>
      </w:tr>
      <w:tr>
        <w:tblPrEx>
          <w:tblCellMar>
            <w:top w:w="0" w:type="dxa"/>
            <w:left w:w="108" w:type="dxa"/>
            <w:bottom w:w="0" w:type="dxa"/>
            <w:right w:w="108" w:type="dxa"/>
          </w:tblCellMar>
        </w:tblPrEx>
        <w:trPr>
          <w:trHeight w:val="27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bCs/>
                <w:kern w:val="2"/>
              </w:rPr>
            </w:pPr>
          </w:p>
        </w:tc>
        <w:tc>
          <w:tcPr>
            <w:tcW w:w="0" w:type="auto"/>
            <w:vAlign w:val="center"/>
          </w:tcPr>
          <w:p>
            <w:pPr>
              <w:rPr>
                <w:bCs/>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bCs/>
                <w:kern w:val="2"/>
              </w:rPr>
            </w:pPr>
            <w:r>
              <w:rPr>
                <w:rFonts w:hint="eastAsia"/>
                <w:bCs/>
              </w:rPr>
              <w:t>一</w:t>
            </w:r>
          </w:p>
        </w:tc>
        <w:tc>
          <w:tcPr>
            <w:tcW w:w="3703" w:type="pct"/>
            <w:tcBorders>
              <w:top w:val="nil"/>
              <w:left w:val="nil"/>
              <w:bottom w:val="single" w:color="auto" w:sz="4" w:space="0"/>
              <w:right w:val="single" w:color="auto" w:sz="4" w:space="0"/>
            </w:tcBorders>
            <w:vAlign w:val="center"/>
          </w:tcPr>
          <w:p>
            <w:pPr>
              <w:jc w:val="center"/>
              <w:rPr>
                <w:bCs/>
              </w:rPr>
            </w:pPr>
            <w:r>
              <w:rPr>
                <w:rFonts w:hint="eastAsia"/>
                <w:bCs/>
              </w:rPr>
              <w:t>一般资格性审查内容</w:t>
            </w:r>
          </w:p>
        </w:tc>
        <w:tc>
          <w:tcPr>
            <w:tcW w:w="870" w:type="pct"/>
            <w:tcBorders>
              <w:top w:val="nil"/>
              <w:left w:val="nil"/>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1</w:t>
            </w:r>
          </w:p>
        </w:tc>
        <w:tc>
          <w:tcPr>
            <w:tcW w:w="3703" w:type="pct"/>
            <w:tcBorders>
              <w:top w:val="nil"/>
              <w:left w:val="nil"/>
              <w:bottom w:val="single" w:color="auto" w:sz="4" w:space="0"/>
              <w:right w:val="single" w:color="auto" w:sz="4" w:space="0"/>
            </w:tcBorders>
            <w:vAlign w:val="center"/>
          </w:tcPr>
          <w:p>
            <w:pPr>
              <w:jc w:val="center"/>
              <w:rPr>
                <w:rFonts w:hint="eastAsia"/>
                <w:bCs/>
              </w:rPr>
            </w:pPr>
          </w:p>
        </w:tc>
        <w:tc>
          <w:tcPr>
            <w:tcW w:w="870" w:type="pct"/>
            <w:tcBorders>
              <w:top w:val="nil"/>
              <w:left w:val="nil"/>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2</w:t>
            </w:r>
          </w:p>
        </w:tc>
        <w:tc>
          <w:tcPr>
            <w:tcW w:w="3703" w:type="pct"/>
            <w:tcBorders>
              <w:top w:val="nil"/>
              <w:left w:val="nil"/>
              <w:bottom w:val="single" w:color="auto" w:sz="4" w:space="0"/>
              <w:right w:val="single" w:color="auto" w:sz="4" w:space="0"/>
            </w:tcBorders>
            <w:vAlign w:val="center"/>
          </w:tcPr>
          <w:p>
            <w:pPr>
              <w:jc w:val="center"/>
              <w:rPr>
                <w:rFonts w:hint="eastAsia"/>
                <w:bCs/>
              </w:rPr>
            </w:pPr>
          </w:p>
        </w:tc>
        <w:tc>
          <w:tcPr>
            <w:tcW w:w="870" w:type="pct"/>
            <w:tcBorders>
              <w:top w:val="nil"/>
              <w:left w:val="nil"/>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3</w:t>
            </w:r>
          </w:p>
        </w:tc>
        <w:tc>
          <w:tcPr>
            <w:tcW w:w="3703" w:type="pct"/>
            <w:tcBorders>
              <w:top w:val="nil"/>
              <w:left w:val="nil"/>
              <w:bottom w:val="single" w:color="auto" w:sz="4" w:space="0"/>
              <w:right w:val="single" w:color="auto" w:sz="4" w:space="0"/>
            </w:tcBorders>
            <w:vAlign w:val="center"/>
          </w:tcPr>
          <w:p>
            <w:pPr>
              <w:jc w:val="center"/>
              <w:rPr>
                <w:rFonts w:hint="eastAsia"/>
                <w:bCs/>
              </w:rPr>
            </w:pPr>
          </w:p>
        </w:tc>
        <w:tc>
          <w:tcPr>
            <w:tcW w:w="870" w:type="pct"/>
            <w:tcBorders>
              <w:top w:val="nil"/>
              <w:left w:val="nil"/>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 xml:space="preserve">   </w:t>
            </w:r>
          </w:p>
        </w:tc>
        <w:tc>
          <w:tcPr>
            <w:tcW w:w="3703" w:type="pct"/>
            <w:tcBorders>
              <w:top w:val="nil"/>
              <w:left w:val="nil"/>
              <w:bottom w:val="single" w:color="auto" w:sz="4" w:space="0"/>
              <w:right w:val="single" w:color="auto" w:sz="4" w:space="0"/>
            </w:tcBorders>
            <w:vAlign w:val="center"/>
          </w:tcPr>
          <w:p>
            <w:pPr>
              <w:jc w:val="center"/>
              <w:rPr>
                <w:rFonts w:hint="eastAsia"/>
                <w:bCs/>
              </w:rPr>
            </w:pPr>
            <w:r>
              <w:rPr>
                <w:rFonts w:hint="eastAsia"/>
                <w:bCs/>
              </w:rPr>
              <w:t>……</w:t>
            </w:r>
          </w:p>
        </w:tc>
        <w:tc>
          <w:tcPr>
            <w:tcW w:w="870" w:type="pct"/>
            <w:tcBorders>
              <w:top w:val="nil"/>
              <w:left w:val="nil"/>
              <w:bottom w:val="single" w:color="auto" w:sz="4" w:space="0"/>
              <w:right w:val="single" w:color="auto" w:sz="4" w:space="0"/>
            </w:tcBorders>
            <w:vAlign w:val="center"/>
          </w:tcPr>
          <w:p>
            <w:pPr>
              <w:jc w:val="center"/>
              <w:rPr>
                <w:bCs/>
              </w:rPr>
            </w:pP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二</w:t>
            </w:r>
          </w:p>
        </w:tc>
        <w:tc>
          <w:tcPr>
            <w:tcW w:w="3703" w:type="pct"/>
            <w:tcBorders>
              <w:top w:val="single" w:color="auto" w:sz="4" w:space="0"/>
              <w:left w:val="nil"/>
              <w:bottom w:val="single" w:color="auto" w:sz="4" w:space="0"/>
              <w:right w:val="single" w:color="auto" w:sz="4" w:space="0"/>
            </w:tcBorders>
            <w:vAlign w:val="center"/>
          </w:tcPr>
          <w:p>
            <w:pPr>
              <w:jc w:val="center"/>
              <w:rPr>
                <w:rFonts w:hint="eastAsia"/>
                <w:bCs/>
              </w:rPr>
            </w:pPr>
            <w:r>
              <w:rPr>
                <w:rFonts w:hint="eastAsia"/>
                <w:bCs/>
              </w:rPr>
              <w:t>特定资格性审查内容</w:t>
            </w:r>
          </w:p>
        </w:tc>
        <w:tc>
          <w:tcPr>
            <w:tcW w:w="870" w:type="pct"/>
            <w:tcBorders>
              <w:top w:val="single" w:color="auto" w:sz="4" w:space="0"/>
              <w:left w:val="nil"/>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1</w:t>
            </w:r>
          </w:p>
        </w:tc>
        <w:tc>
          <w:tcPr>
            <w:tcW w:w="3703" w:type="pct"/>
            <w:tcBorders>
              <w:top w:val="single" w:color="auto" w:sz="4" w:space="0"/>
              <w:left w:val="nil"/>
              <w:bottom w:val="single" w:color="auto" w:sz="4" w:space="0"/>
              <w:right w:val="single" w:color="auto" w:sz="4" w:space="0"/>
            </w:tcBorders>
            <w:vAlign w:val="center"/>
          </w:tcPr>
          <w:p>
            <w:pPr>
              <w:jc w:val="center"/>
              <w:rPr>
                <w:rFonts w:hint="eastAsia"/>
                <w:bCs/>
              </w:rPr>
            </w:pPr>
          </w:p>
        </w:tc>
        <w:tc>
          <w:tcPr>
            <w:tcW w:w="870" w:type="pct"/>
            <w:tcBorders>
              <w:top w:val="single" w:color="auto" w:sz="4" w:space="0"/>
              <w:left w:val="nil"/>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2</w:t>
            </w:r>
          </w:p>
        </w:tc>
        <w:tc>
          <w:tcPr>
            <w:tcW w:w="3703"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870" w:type="pct"/>
            <w:tcBorders>
              <w:top w:val="single" w:color="auto" w:sz="4" w:space="0"/>
              <w:left w:val="single" w:color="auto" w:sz="4" w:space="0"/>
              <w:bottom w:val="single" w:color="auto" w:sz="4" w:space="0"/>
              <w:right w:val="single" w:color="auto" w:sz="4" w:space="0"/>
            </w:tcBorders>
            <w:vAlign w:val="center"/>
          </w:tcPr>
          <w:p>
            <w:pPr>
              <w:jc w:val="center"/>
              <w:rPr>
                <w:bCs/>
              </w:rPr>
            </w:pPr>
            <w:r>
              <w:rPr>
                <w:bCs/>
              </w:rPr>
              <w:t xml:space="preserve"> </w:t>
            </w: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rPr>
            </w:pPr>
            <w:r>
              <w:rPr>
                <w:rFonts w:hint="eastAsia" w:ascii="宋体" w:hAnsi="宋体"/>
                <w:bCs/>
              </w:rPr>
              <w:t>3</w:t>
            </w:r>
          </w:p>
        </w:tc>
        <w:tc>
          <w:tcPr>
            <w:tcW w:w="3703" w:type="pct"/>
            <w:tcBorders>
              <w:top w:val="single" w:color="auto" w:sz="4" w:space="0"/>
              <w:left w:val="single" w:color="auto" w:sz="4" w:space="0"/>
              <w:bottom w:val="single" w:color="auto" w:sz="4" w:space="0"/>
              <w:right w:val="single" w:color="auto" w:sz="4" w:space="0"/>
            </w:tcBorders>
            <w:vAlign w:val="center"/>
          </w:tcPr>
          <w:p>
            <w:pPr>
              <w:jc w:val="center"/>
              <w:rPr>
                <w:rFonts w:hint="eastAsia"/>
                <w:bCs/>
              </w:rPr>
            </w:pPr>
          </w:p>
        </w:tc>
        <w:tc>
          <w:tcPr>
            <w:tcW w:w="870"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3703" w:type="pct"/>
            <w:tcBorders>
              <w:top w:val="single" w:color="auto" w:sz="4" w:space="0"/>
              <w:left w:val="single" w:color="auto" w:sz="4" w:space="0"/>
              <w:bottom w:val="single" w:color="auto" w:sz="4" w:space="0"/>
              <w:right w:val="single" w:color="auto" w:sz="4" w:space="0"/>
            </w:tcBorders>
            <w:vAlign w:val="center"/>
          </w:tcPr>
          <w:p>
            <w:pPr>
              <w:jc w:val="center"/>
              <w:rPr>
                <w:bCs/>
              </w:rPr>
            </w:pPr>
            <w:r>
              <w:rPr>
                <w:rFonts w:hint="eastAsia"/>
                <w:bCs/>
              </w:rPr>
              <w:t>……</w:t>
            </w:r>
          </w:p>
        </w:tc>
        <w:tc>
          <w:tcPr>
            <w:tcW w:w="870" w:type="pct"/>
            <w:tcBorders>
              <w:top w:val="single" w:color="auto" w:sz="4" w:space="0"/>
              <w:left w:val="single" w:color="auto" w:sz="4" w:space="0"/>
              <w:bottom w:val="single" w:color="auto" w:sz="4" w:space="0"/>
              <w:right w:val="single" w:color="auto" w:sz="4" w:space="0"/>
            </w:tcBorders>
            <w:vAlign w:val="center"/>
          </w:tcPr>
          <w:p>
            <w:pPr>
              <w:jc w:val="center"/>
              <w:rPr>
                <w:bCs/>
              </w:rPr>
            </w:pPr>
          </w:p>
        </w:tc>
        <w:tc>
          <w:tcPr>
            <w:tcW w:w="0" w:type="auto"/>
            <w:vAlign w:val="center"/>
          </w:tcPr>
          <w:p>
            <w:pPr>
              <w:widowControl/>
              <w:jc w:val="left"/>
              <w:rPr>
                <w:sz w:val="20"/>
                <w:szCs w:val="20"/>
              </w:rPr>
            </w:pPr>
          </w:p>
        </w:tc>
      </w:tr>
      <w:tr>
        <w:tblPrEx>
          <w:tblCellMar>
            <w:top w:w="0" w:type="dxa"/>
            <w:left w:w="108" w:type="dxa"/>
            <w:bottom w:w="0" w:type="dxa"/>
            <w:right w:w="108" w:type="dxa"/>
          </w:tblCellMar>
        </w:tblPrEx>
        <w:trPr>
          <w:trHeight w:val="1268"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rPr>
                <w:bCs/>
              </w:rPr>
            </w:pPr>
            <w:r>
              <w:rPr>
                <w:rFonts w:hint="eastAsia"/>
                <w:bCs/>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c>
          <w:tcPr>
            <w:tcW w:w="0" w:type="auto"/>
            <w:vAlign w:val="center"/>
          </w:tcPr>
          <w:p>
            <w:pPr>
              <w:widowControl/>
              <w:jc w:val="left"/>
              <w:rPr>
                <w:sz w:val="20"/>
                <w:szCs w:val="20"/>
              </w:rPr>
            </w:pPr>
          </w:p>
        </w:tc>
      </w:tr>
    </w:tbl>
    <w:p>
      <w:pPr>
        <w:ind w:firstLine="480" w:firstLineChars="200"/>
        <w:rPr>
          <w:bCs/>
          <w:kern w:val="2"/>
          <w:sz w:val="21"/>
          <w:lang w:val="zh-CN"/>
        </w:rPr>
      </w:pPr>
      <w:r>
        <w:rPr>
          <w:bCs/>
          <w:lang w:val="zh-CN"/>
        </w:rPr>
        <w:br w:type="page"/>
      </w:r>
    </w:p>
    <w:p>
      <w:pPr>
        <w:pStyle w:val="8"/>
        <w:spacing w:before="120" w:beforeLines="50" w:after="120" w:afterLines="50"/>
        <w:rPr>
          <w:b w:val="0"/>
          <w:lang w:val="zh-CN"/>
        </w:rPr>
      </w:pPr>
      <w:bookmarkStart w:id="372" w:name="_Toc28654"/>
      <w:bookmarkStart w:id="373" w:name="_Toc25235"/>
      <w:bookmarkStart w:id="374" w:name="_Toc12871"/>
      <w:bookmarkStart w:id="375" w:name="_Toc5626"/>
      <w:r>
        <w:rPr>
          <w:rFonts w:hint="eastAsia"/>
          <w:b w:val="0"/>
          <w:lang w:val="zh-CN"/>
        </w:rPr>
        <w:t>附件</w:t>
      </w:r>
      <w:r>
        <w:rPr>
          <w:b w:val="0"/>
          <w:lang w:val="zh-CN"/>
        </w:rPr>
        <w:t xml:space="preserve">3-2 </w:t>
      </w:r>
      <w:r>
        <w:rPr>
          <w:rFonts w:hint="eastAsia"/>
          <w:b w:val="0"/>
          <w:lang w:val="zh-CN"/>
        </w:rPr>
        <w:t>工商营业执照、组织机构代码证、税务登记证</w:t>
      </w:r>
      <w:bookmarkEnd w:id="372"/>
      <w:bookmarkEnd w:id="373"/>
      <w:bookmarkEnd w:id="374"/>
      <w:bookmarkEnd w:id="375"/>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pPr>
        <w:widowControl/>
        <w:ind w:firstLine="480" w:firstLineChars="200"/>
        <w:jc w:val="left"/>
        <w:rPr>
          <w:rFonts w:hint="eastAsia" w:ascii="Arial" w:hAnsi="Arial" w:eastAsia="黑体"/>
          <w:bCs/>
          <w:sz w:val="28"/>
          <w:szCs w:val="28"/>
        </w:rPr>
      </w:pPr>
      <w:r>
        <w:rPr>
          <w:bCs/>
        </w:rPr>
        <w:br w:type="page"/>
      </w:r>
    </w:p>
    <w:p>
      <w:pPr>
        <w:pStyle w:val="8"/>
        <w:spacing w:before="120" w:beforeLines="50" w:after="120" w:afterLines="50"/>
        <w:rPr>
          <w:b w:val="0"/>
        </w:rPr>
      </w:pPr>
      <w:bookmarkStart w:id="376" w:name="_Toc4671"/>
      <w:bookmarkStart w:id="377" w:name="_Toc24537"/>
      <w:bookmarkStart w:id="378" w:name="_Toc26386"/>
      <w:bookmarkStart w:id="379" w:name="_Toc15253"/>
      <w:r>
        <w:rPr>
          <w:rFonts w:hint="eastAsia"/>
          <w:b w:val="0"/>
        </w:rPr>
        <w:t>附件</w:t>
      </w:r>
      <w:r>
        <w:rPr>
          <w:b w:val="0"/>
        </w:rPr>
        <w:t xml:space="preserve">3-3 </w:t>
      </w:r>
      <w:r>
        <w:rPr>
          <w:rFonts w:hint="eastAsia"/>
          <w:b w:val="0"/>
        </w:rPr>
        <w:t>法定代表人资格证明书</w:t>
      </w:r>
      <w:bookmarkEnd w:id="376"/>
      <w:bookmarkEnd w:id="377"/>
      <w:bookmarkEnd w:id="378"/>
      <w:bookmarkEnd w:id="379"/>
    </w:p>
    <w:p>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pPr>
        <w:ind w:firstLine="560" w:firstLineChars="200"/>
        <w:rPr>
          <w:bCs/>
          <w:sz w:val="28"/>
          <w:szCs w:val="28"/>
        </w:rPr>
      </w:pPr>
    </w:p>
    <w:p>
      <w:pPr>
        <w:ind w:firstLine="560" w:firstLineChars="200"/>
        <w:rPr>
          <w:bCs/>
          <w:sz w:val="28"/>
          <w:szCs w:val="28"/>
        </w:rPr>
      </w:pPr>
      <w:r>
        <w:rPr>
          <w:rFonts w:hint="eastAsia"/>
          <w:bCs/>
          <w:sz w:val="28"/>
          <w:szCs w:val="28"/>
        </w:rPr>
        <w:t>特此证明</w:t>
      </w:r>
    </w:p>
    <w:p>
      <w:pPr>
        <w:ind w:firstLine="420" w:firstLineChars="200"/>
        <w:rPr>
          <w:bCs/>
          <w:sz w:val="28"/>
          <w:szCs w:val="28"/>
        </w:rPr>
      </w:pPr>
      <w:r>
        <w:rPr>
          <w:sz w:val="21"/>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0" t="0" r="26035" b="17145"/>
                <wp:wrapNone/>
                <wp:docPr id="218701227"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wps:txbx>
                      <wps:bodyPr rot="0" vertOverflow="clip" horzOverflow="clip" vert="horz" wrap="square" lIns="91440" tIns="45720" rIns="91440" bIns="45720" anchor="ctr" anchorCtr="0" upright="1">
                        <a:noAutofit/>
                      </wps:bodyPr>
                    </wps:wsp>
                  </a:graphicData>
                </a:graphic>
              </wp:anchor>
            </w:drawing>
          </mc:Choice>
          <mc:Fallback>
            <w:pict>
              <v:shape id="文本框 4"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vUrQdQAAAAJAQAADwAAAAAAAAABACAAAAAiAAAAZHJzL2Rvd25yZXYueG1sUEsBAhQAFAAA&#10;AAgAh07iQPFT93plAgAA0gQAAA4AAAAAAAAAAQAgAAAAIwEAAGRycy9lMm9Eb2MueG1sUEsFBgAA&#10;AAAGAAYAWQEAAPoFA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141957217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wps:txbx>
                      <wps:bodyPr rot="0" vertOverflow="clip" horzOverflow="clip" vert="horz" wrap="square" lIns="91440" tIns="45720" rIns="91440" bIns="45720" anchor="ctr" anchorCtr="0" upright="1">
                        <a:noAutofit/>
                      </wps:bodyPr>
                    </wps:wsp>
                  </a:graphicData>
                </a:graphic>
              </wp:anchor>
            </w:drawing>
          </mc:Choice>
          <mc:Fallback>
            <w:pict>
              <v:shape id="文本框 3" o:spid="_x0000_s1026" o:spt="202" type="#_x0000_t202" style="position:absolute;left:0pt;margin-left:228.3pt;margin-top:4.75pt;height:88.65pt;width:171.8pt;z-index:251659264;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BVTAl1QAAAAkBAAAPAAAAAAAAAAEAIAAAACIAAABkcnMvZG93bnJldi54bWxQSwECFAAU&#10;AAAACACHTuJAo9UBC2YCAADTBAAADgAAAAAAAAABACAAAAAkAQAAZHJzL2Uyb0RvYy54bWxQSwUG&#10;AAAAAAYABgBZAQAA/A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法定代表人身份证复印件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rPr>
          <w:bCs/>
          <w:sz w:val="28"/>
          <w:szCs w:val="28"/>
        </w:rPr>
      </w:pPr>
    </w:p>
    <w:p>
      <w:pPr>
        <w:ind w:firstLine="560" w:firstLineChars="200"/>
        <w:rPr>
          <w:bCs/>
          <w:sz w:val="28"/>
          <w:szCs w:val="28"/>
        </w:rPr>
      </w:pPr>
      <w:r>
        <w:rPr>
          <w:rFonts w:hint="eastAsia"/>
          <w:bCs/>
          <w:sz w:val="28"/>
          <w:szCs w:val="28"/>
        </w:rPr>
        <w:t>身份证关键信息应当清晰可辨，否则视为无效投标。</w:t>
      </w:r>
    </w:p>
    <w:p>
      <w:pPr>
        <w:ind w:firstLine="4900" w:firstLineChars="1750"/>
        <w:rPr>
          <w:bCs/>
          <w:sz w:val="28"/>
          <w:szCs w:val="28"/>
        </w:rPr>
      </w:pPr>
    </w:p>
    <w:p>
      <w:pPr>
        <w:ind w:firstLine="4900" w:firstLineChars="1750"/>
        <w:rPr>
          <w:bCs/>
          <w:sz w:val="28"/>
          <w:szCs w:val="28"/>
        </w:rPr>
      </w:pPr>
    </w:p>
    <w:p>
      <w:pPr>
        <w:rPr>
          <w:bCs/>
          <w:sz w:val="28"/>
          <w:szCs w:val="28"/>
        </w:rPr>
      </w:pPr>
    </w:p>
    <w:p>
      <w:pPr>
        <w:ind w:firstLine="560" w:firstLineChars="200"/>
        <w:jc w:val="center"/>
        <w:rPr>
          <w:bCs/>
          <w:sz w:val="28"/>
          <w:szCs w:val="28"/>
        </w:rPr>
      </w:pPr>
      <w:r>
        <w:rPr>
          <w:bCs/>
          <w:sz w:val="28"/>
          <w:szCs w:val="28"/>
        </w:rPr>
        <w:t xml:space="preserve">                   </w:t>
      </w:r>
      <w:r>
        <w:rPr>
          <w:rFonts w:hint="eastAsia"/>
          <w:bCs/>
          <w:sz w:val="28"/>
          <w:szCs w:val="28"/>
        </w:rPr>
        <w:t>投标供应商全称：（盖章）</w:t>
      </w:r>
    </w:p>
    <w:p>
      <w:pPr>
        <w:jc w:val="left"/>
        <w:rPr>
          <w:bCs/>
          <w:sz w:val="28"/>
          <w:szCs w:val="28"/>
        </w:rPr>
      </w:pPr>
    </w:p>
    <w:p>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widowControl/>
        <w:ind w:firstLine="480" w:firstLineChars="200"/>
        <w:jc w:val="left"/>
        <w:rPr>
          <w:rFonts w:ascii="Arial" w:hAnsi="Arial" w:eastAsia="黑体"/>
          <w:bCs/>
          <w:sz w:val="28"/>
          <w:szCs w:val="28"/>
          <w:lang w:val="zh-CN"/>
        </w:rPr>
      </w:pPr>
      <w:r>
        <w:rPr>
          <w:bCs/>
          <w:lang w:val="zh-CN"/>
        </w:rPr>
        <w:br w:type="page"/>
      </w:r>
    </w:p>
    <w:p>
      <w:pPr>
        <w:pStyle w:val="8"/>
        <w:spacing w:before="120" w:beforeLines="50" w:after="120" w:afterLines="50"/>
        <w:rPr>
          <w:b w:val="0"/>
        </w:rPr>
      </w:pPr>
      <w:bookmarkStart w:id="380" w:name="_Toc27366"/>
      <w:bookmarkStart w:id="381" w:name="_Toc12673"/>
      <w:bookmarkStart w:id="382" w:name="_Toc20902"/>
      <w:bookmarkStart w:id="383" w:name="_Toc12128"/>
      <w:r>
        <w:rPr>
          <w:rFonts w:hint="eastAsia"/>
          <w:b w:val="0"/>
        </w:rPr>
        <w:t>附件</w:t>
      </w:r>
      <w:r>
        <w:rPr>
          <w:b w:val="0"/>
        </w:rPr>
        <w:t xml:space="preserve">3-4 </w:t>
      </w:r>
      <w:r>
        <w:rPr>
          <w:rFonts w:hint="eastAsia"/>
          <w:b w:val="0"/>
        </w:rPr>
        <w:t>法定代表人授权书</w:t>
      </w:r>
      <w:bookmarkEnd w:id="380"/>
      <w:bookmarkEnd w:id="381"/>
      <w:bookmarkEnd w:id="382"/>
      <w:bookmarkEnd w:id="383"/>
    </w:p>
    <w:p>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pPr>
        <w:spacing w:line="600" w:lineRule="exact"/>
        <w:ind w:firstLine="560" w:firstLineChars="200"/>
        <w:rPr>
          <w:rFonts w:hint="eastAsia"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pPr>
        <w:spacing w:line="560" w:lineRule="exact"/>
        <w:ind w:firstLine="600"/>
        <w:rPr>
          <w:rFonts w:hint="eastAsia" w:ascii="宋体" w:hAnsi="宋体" w:cs="宋体"/>
          <w:bCs/>
          <w:sz w:val="28"/>
          <w:szCs w:val="28"/>
        </w:rPr>
      </w:pPr>
    </w:p>
    <w:p>
      <w:pPr>
        <w:spacing w:line="360" w:lineRule="auto"/>
        <w:ind w:left="-2" w:leftChars="-1" w:firstLine="4200" w:firstLineChars="1500"/>
        <w:rPr>
          <w:rFonts w:hint="eastAsia" w:ascii="宋体" w:hAnsi="宋体" w:cs="宋体"/>
          <w:bCs/>
          <w:sz w:val="28"/>
          <w:szCs w:val="28"/>
        </w:rPr>
      </w:pPr>
      <w:r>
        <w:rPr>
          <w:rFonts w:hint="eastAsia" w:ascii="宋体" w:hAnsi="宋体" w:cs="宋体"/>
          <w:bCs/>
          <w:sz w:val="28"/>
          <w:szCs w:val="28"/>
        </w:rPr>
        <w:t xml:space="preserve">投标供应商全称：（盖章）                            </w:t>
      </w:r>
    </w:p>
    <w:p>
      <w:pPr>
        <w:spacing w:line="360" w:lineRule="auto"/>
        <w:ind w:left="4121" w:leftChars="1717" w:firstLine="560" w:firstLineChars="200"/>
        <w:rPr>
          <w:rFonts w:hint="eastAsia" w:ascii="宋体" w:hAnsi="宋体" w:cs="宋体"/>
          <w:bCs/>
          <w:sz w:val="28"/>
          <w:szCs w:val="28"/>
        </w:rPr>
      </w:pPr>
      <w:r>
        <w:rPr>
          <w:rFonts w:hint="eastAsia" w:ascii="宋体" w:hAnsi="宋体" w:cs="宋体"/>
          <w:bCs/>
          <w:sz w:val="28"/>
          <w:szCs w:val="28"/>
        </w:rPr>
        <w:t>法定代表人：（签字）</w:t>
      </w:r>
    </w:p>
    <w:p>
      <w:pPr>
        <w:pStyle w:val="20"/>
        <w:spacing w:line="360" w:lineRule="auto"/>
        <w:ind w:firstLine="420" w:firstLineChars="200"/>
        <w:rPr>
          <w:rFonts w:hint="eastAsia"/>
        </w:rPr>
      </w:pPr>
      <w:r>
        <w:t xml:space="preserve">                                    </w:t>
      </w:r>
      <w:r>
        <w:rPr>
          <w:rFonts w:hint="eastAsia" w:ascii="宋体" w:hAnsi="宋体" w:cs="宋体"/>
          <w:bCs/>
          <w:sz w:val="28"/>
          <w:szCs w:val="28"/>
        </w:rPr>
        <w:t>授权代表：（签字）</w:t>
      </w:r>
    </w:p>
    <w:p>
      <w:pPr>
        <w:spacing w:line="560" w:lineRule="exact"/>
        <w:ind w:left="3391"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附：</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pPr>
        <w:spacing w:line="560" w:lineRule="exact"/>
        <w:ind w:firstLine="420" w:firstLineChars="200"/>
        <w:rPr>
          <w:rFonts w:hint="eastAsia" w:ascii="宋体" w:hAnsi="宋体" w:cs="宋体"/>
          <w:bCs/>
          <w:sz w:val="28"/>
          <w:szCs w:val="28"/>
        </w:rPr>
      </w:pPr>
      <w:r>
        <w:rPr>
          <w:rFonts w:hint="eastAsia"/>
          <w:sz w:val="21"/>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7825639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wps:txbx>
                      <wps:bodyPr rot="0" vertOverflow="clip" horzOverflow="clip"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30.9pt;margin-top:9.45pt;height:85.15pt;width:176.45pt;z-index:251659264;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b6jRDUAAAACQEAAA8AAAAAAAAAAQAgAAAAIgAAAGRycy9kb3ducmV2LnhtbFBLAQIUABQA&#10;AAAIAIdO4kDO5n6zZgIAANIEAAAOAAAAAAAAAAEAIAAAACMBAABkcnMvZTJvRG9jLnhtbFBLBQYA&#10;AAAABgAGAFkBAAD7BQ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（正面）</w:t>
                      </w:r>
                    </w:p>
                  </w:txbxContent>
                </v:textbox>
              </v:shape>
            </w:pict>
          </mc:Fallback>
        </mc:AlternateContent>
      </w:r>
      <w:r>
        <w:rPr>
          <w:rFonts w:hint="eastAsia"/>
          <w:sz w:val="21"/>
        </w:rPr>
        <mc:AlternateContent>
          <mc:Choice Requires="wps">
            <w:drawing>
              <wp:anchor distT="0" distB="0" distL="114300" distR="114300" simplePos="0" relativeHeight="25165926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020960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wps:txbx>
                      <wps:bodyPr rot="0" vertOverflow="clip" horzOverflow="clip"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6.6pt;margin-top:9.6pt;height:86.8pt;width:176.45pt;z-index:25165926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2SJDD1QAAAAoBAAAPAAAAAAAAAAEAIAAAACIAAABkcnMvZG93bnJldi54bWxQSwECFAAU&#10;AAAACACHTuJADE5usmYCAADRBAAADgAAAAAAAAABACAAAAAkAQAAZHJzL2Uyb0RvYy54bWxQSwUG&#10;AAAAAAYABgBZAQAA/AUAAAAA&#10;">
                <v:fill on="t" focussize="0,0"/>
                <v:stroke color="#000000" miterlimit="8" joinstyle="miter" dashstyle="dash"/>
                <v:imagedata o:title=""/>
                <o:lock v:ext="edit" aspectratio="f"/>
                <v:textbox>
                  <w:txbxContent>
                    <w:p>
                      <w:pPr>
                        <w:jc w:val="center"/>
                        <w:rPr>
                          <w:rFonts w:ascii="宋体"/>
                        </w:rPr>
                      </w:pPr>
                    </w:p>
                    <w:p>
                      <w:pPr>
                        <w:jc w:val="center"/>
                        <w:rPr>
                          <w:rFonts w:hint="eastAsia" w:ascii="宋体" w:hAnsi="宋体"/>
                          <w:sz w:val="28"/>
                          <w:szCs w:val="28"/>
                        </w:rPr>
                      </w:pPr>
                      <w:r>
                        <w:rPr>
                          <w:rFonts w:hint="eastAsia" w:ascii="宋体" w:hAnsi="宋体"/>
                          <w:sz w:val="28"/>
                          <w:szCs w:val="28"/>
                        </w:rPr>
                        <w:t>授权代表身份证复印件</w:t>
                      </w:r>
                    </w:p>
                    <w:p>
                      <w:pPr>
                        <w:jc w:val="center"/>
                        <w:rPr>
                          <w:rFonts w:hint="eastAsia"/>
                          <w:sz w:val="28"/>
                          <w:szCs w:val="28"/>
                        </w:rPr>
                      </w:pPr>
                      <w:r>
                        <w:rPr>
                          <w:rFonts w:hint="eastAsia" w:ascii="宋体" w:hAnsi="宋体"/>
                          <w:sz w:val="28"/>
                          <w:szCs w:val="28"/>
                        </w:rPr>
                        <w:t>（反面）</w:t>
                      </w:r>
                    </w:p>
                  </w:txbxContent>
                </v:textbox>
              </v:shape>
            </w:pict>
          </mc:Fallback>
        </mc:AlternateContent>
      </w:r>
    </w:p>
    <w:p>
      <w:pPr>
        <w:spacing w:line="560" w:lineRule="exact"/>
        <w:ind w:firstLine="573"/>
        <w:rPr>
          <w:rFonts w:hint="eastAsia" w:ascii="宋体" w:hAnsi="宋体" w:cs="宋体"/>
          <w:bCs/>
          <w:sz w:val="28"/>
          <w:szCs w:val="28"/>
        </w:rPr>
      </w:pPr>
    </w:p>
    <w:p>
      <w:pPr>
        <w:spacing w:line="560" w:lineRule="exact"/>
        <w:ind w:firstLine="573"/>
        <w:rPr>
          <w:rFonts w:hint="eastAsia" w:ascii="宋体" w:hAnsi="宋体" w:cs="宋体"/>
          <w:bCs/>
          <w:sz w:val="28"/>
          <w:szCs w:val="28"/>
        </w:rPr>
      </w:pPr>
    </w:p>
    <w:p>
      <w:pPr>
        <w:ind w:firstLine="420" w:firstLineChars="150"/>
        <w:rPr>
          <w:rFonts w:hint="eastAsia" w:ascii="宋体" w:hAnsi="宋体" w:cs="宋体"/>
          <w:bCs/>
          <w:sz w:val="28"/>
          <w:szCs w:val="28"/>
        </w:rPr>
      </w:pPr>
    </w:p>
    <w:p>
      <w:pPr>
        <w:ind w:firstLine="560" w:firstLineChars="200"/>
        <w:rPr>
          <w:rFonts w:hint="eastAsia" w:ascii="宋体" w:hAnsi="宋体" w:cs="宋体"/>
          <w:bCs/>
          <w:sz w:val="28"/>
          <w:szCs w:val="28"/>
        </w:rPr>
      </w:pPr>
      <w:r>
        <w:rPr>
          <w:rFonts w:hint="eastAsia" w:ascii="宋体" w:hAnsi="宋体" w:cs="宋体"/>
          <w:bCs/>
          <w:sz w:val="28"/>
          <w:szCs w:val="28"/>
        </w:rPr>
        <w:t>身份证关键信息应当清晰可辨，否则视为无效投标。</w:t>
      </w:r>
    </w:p>
    <w:p>
      <w:pPr>
        <w:spacing w:line="560" w:lineRule="exact"/>
        <w:ind w:firstLine="560" w:firstLineChars="200"/>
        <w:rPr>
          <w:rFonts w:hint="eastAsia"/>
          <w:sz w:val="21"/>
        </w:rPr>
      </w:pPr>
      <w:r>
        <w:rPr>
          <w:rFonts w:hint="eastAsia" w:ascii="黑体" w:hAnsi="黑体" w:eastAsia="黑体" w:cs="宋体"/>
          <w:bCs/>
          <w:sz w:val="28"/>
          <w:szCs w:val="28"/>
        </w:rPr>
        <w:t>注：授权书后应当附授权代表在投标前4个月内（不含投标当月）连续3个月由投标供应商缴纳社保证明材料。</w:t>
      </w:r>
    </w:p>
    <w:p>
      <w:pPr>
        <w:jc w:val="center"/>
        <w:rPr>
          <w:bCs/>
          <w:lang w:val="zh-CN"/>
        </w:rPr>
      </w:pPr>
    </w:p>
    <w:p>
      <w:pPr>
        <w:jc w:val="center"/>
        <w:rPr>
          <w:bCs/>
          <w:lang w:val="zh-CN"/>
        </w:rPr>
      </w:pPr>
    </w:p>
    <w:p>
      <w:pPr>
        <w:pStyle w:val="8"/>
        <w:spacing w:before="120" w:beforeLines="50" w:after="120" w:afterLines="50"/>
        <w:rPr>
          <w:b w:val="0"/>
        </w:rPr>
      </w:pPr>
      <w:bookmarkStart w:id="384" w:name="_Toc21021"/>
      <w:bookmarkStart w:id="385" w:name="_Toc28821"/>
      <w:bookmarkStart w:id="386" w:name="_Toc20114"/>
      <w:bookmarkStart w:id="387" w:name="_Toc31855"/>
      <w:r>
        <w:rPr>
          <w:rFonts w:hint="eastAsia"/>
          <w:b w:val="0"/>
        </w:rPr>
        <w:t>附件</w:t>
      </w:r>
      <w:r>
        <w:rPr>
          <w:b w:val="0"/>
        </w:rPr>
        <w:t xml:space="preserve">3-5 </w:t>
      </w:r>
      <w:r>
        <w:rPr>
          <w:rFonts w:hint="eastAsia"/>
          <w:b w:val="0"/>
        </w:rPr>
        <w:t>供应商承诺声明</w:t>
      </w:r>
      <w:bookmarkEnd w:id="384"/>
      <w:bookmarkEnd w:id="385"/>
      <w:bookmarkEnd w:id="386"/>
      <w:bookmarkEnd w:id="387"/>
    </w:p>
    <w:p>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pPr>
        <w:tabs>
          <w:tab w:val="left" w:pos="771"/>
        </w:tabs>
        <w:spacing w:line="560" w:lineRule="exact"/>
        <w:rPr>
          <w:rFonts w:hint="eastAsia" w:ascii="宋体" w:hAnsi="宋体" w:cs="宋体"/>
          <w:bCs/>
          <w:sz w:val="28"/>
          <w:szCs w:val="28"/>
        </w:rPr>
      </w:pPr>
      <w:r>
        <w:rPr>
          <w:rFonts w:hint="eastAsia"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pPr>
        <w:tabs>
          <w:tab w:val="left" w:pos="771"/>
        </w:tabs>
        <w:spacing w:line="560" w:lineRule="exact"/>
        <w:ind w:firstLine="560" w:firstLineChars="200"/>
        <w:rPr>
          <w:rFonts w:hint="eastAsia"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pPr>
        <w:tabs>
          <w:tab w:val="left" w:pos="771"/>
        </w:tabs>
        <w:spacing w:line="560" w:lineRule="exact"/>
        <w:ind w:firstLine="560" w:firstLineChars="200"/>
        <w:rPr>
          <w:rFonts w:hint="eastAsia" w:ascii="黑体" w:hAnsi="黑体" w:eastAsia="黑体" w:cs="宋体"/>
          <w:bCs/>
          <w:sz w:val="28"/>
          <w:szCs w:val="28"/>
        </w:rPr>
      </w:pPr>
      <w:r>
        <w:rPr>
          <w:rFonts w:hint="eastAsia" w:ascii="黑体" w:hAnsi="黑体" w:eastAsia="黑体" w:cs="宋体"/>
          <w:bCs/>
          <w:sz w:val="28"/>
          <w:szCs w:val="28"/>
        </w:rPr>
        <w:t>一、供应商诚信承诺</w:t>
      </w:r>
    </w:p>
    <w:p>
      <w:pPr>
        <w:tabs>
          <w:tab w:val="left" w:pos="771"/>
        </w:tabs>
        <w:spacing w:line="560" w:lineRule="exact"/>
        <w:ind w:firstLine="560" w:firstLineChars="200"/>
        <w:rPr>
          <w:rFonts w:hint="eastAsia"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pPr>
        <w:widowControl/>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pPr>
        <w:tabs>
          <w:tab w:val="left" w:pos="771"/>
        </w:tabs>
        <w:spacing w:line="560" w:lineRule="exact"/>
        <w:ind w:firstLine="560" w:firstLineChars="200"/>
        <w:rPr>
          <w:rFonts w:hint="eastAsia"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pPr>
        <w:tabs>
          <w:tab w:val="left" w:pos="771"/>
        </w:tabs>
        <w:spacing w:line="560" w:lineRule="exact"/>
        <w:ind w:firstLine="560" w:firstLineChars="200"/>
        <w:rPr>
          <w:rFonts w:hint="eastAsia" w:ascii="黑体" w:hAnsi="黑体" w:eastAsia="黑体" w:cs="宋体"/>
          <w:bCs/>
          <w:sz w:val="28"/>
          <w:szCs w:val="28"/>
        </w:rPr>
      </w:pPr>
      <w:r>
        <w:rPr>
          <w:rFonts w:hint="eastAsia" w:ascii="黑体" w:hAnsi="黑体" w:eastAsia="黑体" w:cs="宋体"/>
          <w:bCs/>
          <w:sz w:val="28"/>
          <w:szCs w:val="28"/>
        </w:rPr>
        <w:t>二、保密承诺</w:t>
      </w:r>
    </w:p>
    <w:p>
      <w:pPr>
        <w:autoSpaceDE w:val="0"/>
        <w:autoSpaceDN w:val="0"/>
        <w:adjustRightInd w:val="0"/>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pPr>
        <w:autoSpaceDE w:val="0"/>
        <w:autoSpaceDN w:val="0"/>
        <w:adjustRightInd w:val="0"/>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pPr>
        <w:autoSpaceDE w:val="0"/>
        <w:autoSpaceDN w:val="0"/>
        <w:adjustRightInd w:val="0"/>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3.不违规记录、存储、复制本次采购项目相关信息。</w:t>
      </w:r>
    </w:p>
    <w:p>
      <w:pPr>
        <w:autoSpaceDE w:val="0"/>
        <w:autoSpaceDN w:val="0"/>
        <w:adjustRightInd w:val="0"/>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pPr>
        <w:tabs>
          <w:tab w:val="left" w:pos="771"/>
        </w:tabs>
        <w:spacing w:line="560" w:lineRule="exact"/>
        <w:ind w:firstLine="560" w:firstLineChars="200"/>
        <w:rPr>
          <w:rFonts w:hint="eastAsia"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pPr>
        <w:tabs>
          <w:tab w:val="left" w:pos="771"/>
        </w:tabs>
        <w:spacing w:line="560" w:lineRule="exact"/>
        <w:ind w:firstLine="560" w:firstLineChars="200"/>
        <w:rPr>
          <w:rFonts w:hint="eastAsia" w:ascii="黑体" w:hAnsi="黑体" w:eastAsia="黑体" w:cs="宋体"/>
          <w:bCs/>
          <w:sz w:val="28"/>
          <w:szCs w:val="28"/>
        </w:rPr>
      </w:pPr>
      <w:r>
        <w:rPr>
          <w:rFonts w:hint="eastAsia" w:ascii="黑体" w:hAnsi="黑体" w:eastAsia="黑体" w:cs="宋体"/>
          <w:bCs/>
          <w:sz w:val="28"/>
          <w:szCs w:val="28"/>
        </w:rPr>
        <w:t>三、诚信责任保证金承诺</w:t>
      </w:r>
    </w:p>
    <w:p>
      <w:pPr>
        <w:widowControl/>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pPr>
        <w:tabs>
          <w:tab w:val="left" w:pos="771"/>
        </w:tabs>
        <w:spacing w:line="560" w:lineRule="exact"/>
        <w:ind w:firstLine="560" w:firstLineChars="200"/>
        <w:rPr>
          <w:rFonts w:hint="eastAsia" w:ascii="黑体" w:hAnsi="黑体" w:eastAsia="黑体" w:cs="宋体"/>
          <w:bCs/>
          <w:sz w:val="28"/>
          <w:szCs w:val="28"/>
        </w:rPr>
      </w:pPr>
      <w:r>
        <w:rPr>
          <w:rFonts w:hint="eastAsia" w:ascii="黑体" w:hAnsi="黑体" w:eastAsia="黑体" w:cs="宋体"/>
          <w:bCs/>
          <w:sz w:val="28"/>
          <w:szCs w:val="28"/>
        </w:rPr>
        <w:t>四、未被列入违法失信名单承诺</w:t>
      </w:r>
    </w:p>
    <w:p>
      <w:pPr>
        <w:spacing w:line="560" w:lineRule="exact"/>
        <w:ind w:firstLine="560" w:firstLineChars="200"/>
        <w:rPr>
          <w:rFonts w:hint="eastAsia" w:ascii="宋体" w:hAnsi="宋体" w:cs="宋体"/>
          <w:bCs/>
          <w:sz w:val="28"/>
          <w:szCs w:val="28"/>
        </w:rPr>
      </w:pPr>
      <w:r>
        <w:rPr>
          <w:rFonts w:hint="eastAsia" w:ascii="宋体" w:hAnsi="宋体"/>
          <w:sz w:val="28"/>
          <w:szCs w:val="28"/>
        </w:rPr>
        <w:t>未被中国政府采购网（www.ccgp.gov.cn）列入政府采购严重违法失信行为记录名单，未在军队采购网（www.plap.mil.cn）军队采购暂停名单处罚范围内或军队采购失信名单禁入处罚期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内，以及未被“信用中国”（www.creditchina.gov.cn）列入严重失信主体名单或国家企业信用信息公示系统（www.gsxt.gov.cn）列入严重违法失信名单（处罚期内）。</w:t>
      </w:r>
    </w:p>
    <w:p>
      <w:pPr>
        <w:tabs>
          <w:tab w:val="left" w:pos="771"/>
        </w:tabs>
        <w:spacing w:line="560" w:lineRule="exact"/>
        <w:ind w:firstLine="560" w:firstLineChars="200"/>
        <w:rPr>
          <w:rFonts w:hint="eastAsia" w:ascii="宋体" w:hAnsi="宋体" w:cs="宋体"/>
          <w:bCs/>
          <w:sz w:val="28"/>
          <w:szCs w:val="28"/>
        </w:rPr>
      </w:pPr>
      <w:r>
        <w:rPr>
          <w:rFonts w:hint="eastAsia" w:ascii="黑体" w:hAnsi="黑体" w:eastAsia="黑体" w:cs="宋体"/>
          <w:bCs/>
          <w:sz w:val="28"/>
          <w:szCs w:val="28"/>
        </w:rPr>
        <w:t>五、关联关系企业不参与采购活动承诺</w:t>
      </w:r>
    </w:p>
    <w:p>
      <w:pPr>
        <w:pStyle w:val="20"/>
        <w:spacing w:line="560" w:lineRule="exact"/>
        <w:ind w:firstLine="560" w:firstLineChars="200"/>
        <w:rPr>
          <w:rFonts w:hint="eastAsia" w:ascii="宋体" w:hAnsi="宋体"/>
          <w:bCs/>
          <w:sz w:val="28"/>
          <w:szCs w:val="28"/>
        </w:rPr>
      </w:pPr>
      <w:r>
        <w:rPr>
          <w:rFonts w:hint="eastAsia" w:ascii="宋体" w:hAnsi="宋体"/>
          <w:bCs/>
          <w:sz w:val="28"/>
          <w:szCs w:val="28"/>
        </w:rPr>
        <w:t>与我单位负责人为同一人或存在直接控股或管理关系的不同供应商，未参加同一包采购活动。</w:t>
      </w:r>
    </w:p>
    <w:p>
      <w:pPr>
        <w:spacing w:line="560" w:lineRule="exact"/>
        <w:ind w:firstLine="560" w:firstLineChars="200"/>
        <w:rPr>
          <w:rFonts w:hint="eastAsia"/>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生产场经营地址或注册登记地址为同一地址的其他生产型企业，未参加同一包采购活动。</w:t>
      </w:r>
    </w:p>
    <w:p>
      <w:pPr>
        <w:pStyle w:val="20"/>
        <w:spacing w:line="560" w:lineRule="exact"/>
        <w:ind w:firstLine="560" w:firstLineChars="200"/>
        <w:rPr>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股东和管理人员（法定代表人、董事或监事）之间存在近亲属（</w:t>
      </w:r>
      <w:r>
        <w:rPr>
          <w:rFonts w:hint="eastAsia" w:ascii="宋体" w:hAnsi="宋体"/>
          <w:bCs/>
          <w:sz w:val="28"/>
          <w:szCs w:val="28"/>
        </w:rPr>
        <w:t>指夫妻、直系血亲、三代以内旁系血亲或近姻亲关系</w:t>
      </w:r>
      <w:r>
        <w:rPr>
          <w:rFonts w:hint="eastAsia" w:ascii="宋体" w:hAnsi="宋体" w:cs="宋体"/>
          <w:bCs/>
          <w:sz w:val="28"/>
          <w:szCs w:val="28"/>
          <w:lang w:bidi="ar"/>
        </w:rPr>
        <w:t>）或相互占股等关联关系的其他非国有销售型企业，也未</w:t>
      </w:r>
      <w:r>
        <w:rPr>
          <w:rFonts w:hint="eastAsia" w:ascii="宋体" w:hAnsi="宋体"/>
          <w:bCs/>
          <w:sz w:val="28"/>
          <w:szCs w:val="28"/>
        </w:rPr>
        <w:t>参加同一包采购活动。</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六、前3年没有重大违法记录的书面声明</w:t>
      </w:r>
    </w:p>
    <w:p>
      <w:pPr>
        <w:tabs>
          <w:tab w:val="left" w:pos="771"/>
        </w:tabs>
        <w:spacing w:line="560" w:lineRule="exact"/>
        <w:ind w:firstLine="560" w:firstLineChars="200"/>
        <w:rPr>
          <w:rFonts w:hint="eastAsia" w:ascii="宋体" w:hAnsi="宋体" w:cs="宋体"/>
          <w:bCs/>
          <w:sz w:val="28"/>
          <w:szCs w:val="28"/>
        </w:rPr>
      </w:pPr>
      <w:r>
        <w:rPr>
          <w:rFonts w:hint="eastAsia" w:ascii="宋体" w:hAnsi="宋体" w:cs="宋体"/>
          <w:bCs/>
          <w:sz w:val="28"/>
          <w:szCs w:val="28"/>
        </w:rPr>
        <w:t>我单位在参加本次采购活动前3年内在经营活动中没有重大违法记录。</w:t>
      </w:r>
    </w:p>
    <w:p>
      <w:pPr>
        <w:tabs>
          <w:tab w:val="left" w:pos="771"/>
        </w:tabs>
        <w:spacing w:line="560" w:lineRule="exact"/>
        <w:ind w:firstLine="560" w:firstLineChars="200"/>
        <w:rPr>
          <w:rFonts w:hint="eastAsia"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pPr>
        <w:tabs>
          <w:tab w:val="left" w:pos="771"/>
        </w:tabs>
        <w:spacing w:line="560" w:lineRule="exact"/>
        <w:ind w:firstLine="560" w:firstLineChars="200"/>
        <w:rPr>
          <w:rFonts w:hint="eastAsia" w:ascii="宋体" w:hAnsi="宋体" w:cs="宋体"/>
          <w:bCs/>
          <w:sz w:val="28"/>
          <w:szCs w:val="28"/>
        </w:rPr>
      </w:pPr>
      <w:r>
        <w:rPr>
          <w:rFonts w:hint="eastAsia" w:ascii="宋体" w:hAnsi="宋体" w:cs="宋体"/>
          <w:bCs/>
          <w:sz w:val="28"/>
          <w:szCs w:val="28"/>
        </w:rPr>
        <w:t>我单位近3年没有发生过重大质量安全事故。</w:t>
      </w:r>
    </w:p>
    <w:p>
      <w:pPr>
        <w:tabs>
          <w:tab w:val="left" w:pos="771"/>
        </w:tabs>
        <w:spacing w:line="560" w:lineRule="exact"/>
        <w:ind w:firstLine="560" w:firstLineChars="200"/>
        <w:rPr>
          <w:rFonts w:hint="eastAsia" w:ascii="黑体" w:hAnsi="黑体" w:eastAsia="黑体" w:cs="宋体"/>
          <w:bCs/>
          <w:sz w:val="28"/>
          <w:szCs w:val="28"/>
        </w:rPr>
      </w:pPr>
      <w:r>
        <w:rPr>
          <w:rFonts w:hint="eastAsia" w:ascii="黑体" w:hAnsi="黑体" w:eastAsia="黑体" w:cs="宋体"/>
          <w:bCs/>
          <w:sz w:val="28"/>
          <w:szCs w:val="28"/>
        </w:rPr>
        <w:t>八、非外资独资企业或控股企业的书面声明</w:t>
      </w:r>
    </w:p>
    <w:p>
      <w:pPr>
        <w:tabs>
          <w:tab w:val="left" w:pos="771"/>
        </w:tabs>
        <w:spacing w:line="560" w:lineRule="exact"/>
        <w:ind w:firstLine="560" w:firstLineChars="200"/>
        <w:rPr>
          <w:rFonts w:hint="eastAsia" w:ascii="宋体" w:hAnsi="宋体" w:cs="宋体"/>
          <w:bCs/>
          <w:sz w:val="28"/>
          <w:szCs w:val="28"/>
        </w:rPr>
      </w:pPr>
      <w:r>
        <w:rPr>
          <w:rFonts w:hint="eastAsia" w:ascii="宋体" w:hAnsi="宋体" w:cs="宋体"/>
          <w:bCs/>
          <w:sz w:val="28"/>
          <w:szCs w:val="28"/>
        </w:rPr>
        <w:t>我单位为非外资独资企业或控股企业。</w:t>
      </w:r>
    </w:p>
    <w:p>
      <w:pPr>
        <w:tabs>
          <w:tab w:val="left" w:pos="771"/>
        </w:tabs>
        <w:spacing w:line="560" w:lineRule="exact"/>
        <w:ind w:firstLine="560" w:firstLineChars="200"/>
        <w:rPr>
          <w:rFonts w:hint="eastAsia"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rFonts w:hint="eastAsia"/>
          <w:sz w:val="28"/>
          <w:szCs w:val="28"/>
        </w:rPr>
      </w:pPr>
      <w:r>
        <w:rPr>
          <w:rFonts w:hint="eastAsia"/>
          <w:sz w:val="28"/>
          <w:szCs w:val="28"/>
        </w:rPr>
        <w:t>我单位具有履行合同所必需的设备和专业技术能力。</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十、非联系体投标声明</w:t>
      </w:r>
    </w:p>
    <w:p>
      <w:pPr>
        <w:spacing w:line="560" w:lineRule="exact"/>
        <w:ind w:firstLine="560" w:firstLineChars="200"/>
        <w:rPr>
          <w:rFonts w:hint="eastAsia"/>
          <w:sz w:val="28"/>
          <w:szCs w:val="28"/>
        </w:rPr>
      </w:pPr>
      <w:r>
        <w:rPr>
          <w:rFonts w:hint="eastAsia"/>
          <w:sz w:val="28"/>
          <w:szCs w:val="28"/>
        </w:rPr>
        <w:t>我单位此次投标为非联合体投标。</w:t>
      </w:r>
    </w:p>
    <w:p>
      <w:pPr>
        <w:autoSpaceDE w:val="0"/>
        <w:autoSpaceDN w:val="0"/>
        <w:adjustRightInd w:val="0"/>
        <w:spacing w:line="560" w:lineRule="exact"/>
        <w:ind w:firstLine="560" w:firstLineChars="200"/>
        <w:rPr>
          <w:rFonts w:ascii="宋体" w:hAnsi="宋体" w:cs="宋体"/>
          <w:bCs/>
          <w:sz w:val="28"/>
          <w:szCs w:val="28"/>
        </w:rPr>
      </w:pPr>
    </w:p>
    <w:p>
      <w:pPr>
        <w:spacing w:line="560" w:lineRule="exact"/>
        <w:ind w:firstLine="560" w:firstLineChars="200"/>
        <w:jc w:val="left"/>
        <w:rPr>
          <w:rFonts w:hint="eastAsia"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pPr>
        <w:spacing w:line="560" w:lineRule="exact"/>
        <w:ind w:firstLine="3640" w:firstLineChars="1300"/>
        <w:jc w:val="left"/>
        <w:rPr>
          <w:rFonts w:hint="eastAsia" w:ascii="宋体" w:hAnsi="宋体" w:cs="宋体"/>
          <w:bCs/>
          <w:sz w:val="28"/>
          <w:szCs w:val="28"/>
          <w:lang w:val="zh-CN"/>
        </w:rPr>
      </w:pPr>
      <w:r>
        <w:rPr>
          <w:rFonts w:hint="eastAsia" w:ascii="宋体" w:hAnsi="宋体" w:cs="宋体"/>
          <w:bCs/>
          <w:sz w:val="28"/>
          <w:szCs w:val="28"/>
          <w:lang w:val="zh-CN"/>
        </w:rPr>
        <w:t xml:space="preserve"> </w:t>
      </w:r>
    </w:p>
    <w:p>
      <w:pPr>
        <w:spacing w:line="560" w:lineRule="exact"/>
        <w:ind w:firstLine="3640" w:firstLineChars="1300"/>
        <w:jc w:val="left"/>
        <w:rPr>
          <w:rFonts w:hint="eastAsia" w:ascii="宋体" w:hAnsi="宋体" w:cs="宋体"/>
          <w:bCs/>
          <w:sz w:val="28"/>
          <w:szCs w:val="28"/>
          <w:lang w:val="zh-CN"/>
        </w:rPr>
      </w:pPr>
      <w:r>
        <w:rPr>
          <w:rFonts w:hint="eastAsia" w:ascii="宋体" w:hAnsi="宋体" w:cs="宋体"/>
          <w:bCs/>
          <w:sz w:val="28"/>
          <w:szCs w:val="28"/>
          <w:lang w:val="zh-CN"/>
        </w:rPr>
        <w:t>投标供应商全称：（盖章）</w:t>
      </w:r>
    </w:p>
    <w:p>
      <w:pPr>
        <w:spacing w:line="560" w:lineRule="exact"/>
        <w:ind w:firstLine="560" w:firstLineChars="200"/>
        <w:jc w:val="center"/>
        <w:rPr>
          <w:rFonts w:hint="eastAsia" w:ascii="宋体" w:hAnsi="宋体" w:cs="宋体"/>
          <w:bCs/>
          <w:sz w:val="28"/>
          <w:szCs w:val="28"/>
          <w:lang w:val="zh-CN"/>
        </w:rPr>
      </w:pPr>
      <w:r>
        <w:rPr>
          <w:rFonts w:hint="eastAsia" w:ascii="宋体" w:hAnsi="宋体" w:cs="宋体"/>
          <w:bCs/>
          <w:sz w:val="28"/>
          <w:szCs w:val="28"/>
          <w:lang w:val="zh-CN"/>
        </w:rPr>
        <w:t xml:space="preserve">                  法定代表人（或授权代表）：（签字）</w:t>
      </w:r>
    </w:p>
    <w:p>
      <w:pPr>
        <w:spacing w:line="560" w:lineRule="exact"/>
        <w:ind w:firstLine="560" w:firstLineChars="200"/>
        <w:rPr>
          <w:rFonts w:hint="eastAsia"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widowControl/>
        <w:ind w:firstLine="480" w:firstLineChars="200"/>
        <w:jc w:val="left"/>
        <w:rPr>
          <w:rFonts w:hint="eastAsia"/>
          <w:bCs/>
          <w:sz w:val="44"/>
          <w:szCs w:val="44"/>
          <w:lang w:val="zh-CN"/>
        </w:rPr>
      </w:pPr>
      <w:r>
        <w:rPr>
          <w:bCs/>
          <w:lang w:val="zh-CN"/>
        </w:rPr>
        <w:br w:type="page"/>
      </w:r>
    </w:p>
    <w:p>
      <w:pPr>
        <w:pStyle w:val="8"/>
        <w:spacing w:before="120" w:beforeLines="50" w:after="120" w:afterLines="50"/>
        <w:rPr>
          <w:b w:val="0"/>
          <w:lang w:val="zh-CN"/>
        </w:rPr>
      </w:pPr>
      <w:bookmarkStart w:id="388" w:name="_Toc26622"/>
      <w:bookmarkStart w:id="389" w:name="_Toc16276"/>
      <w:bookmarkStart w:id="390" w:name="_Toc25453"/>
      <w:bookmarkStart w:id="391" w:name="_Toc532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388"/>
      <w:bookmarkEnd w:id="389"/>
      <w:bookmarkEnd w:id="390"/>
      <w:bookmarkEnd w:id="391"/>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pPr>
        <w:widowControl/>
        <w:ind w:firstLine="480" w:firstLineChars="200"/>
        <w:jc w:val="left"/>
        <w:rPr>
          <w:rFonts w:hint="eastAsia" w:ascii="Arial" w:hAnsi="Arial" w:eastAsia="黑体"/>
          <w:bCs/>
          <w:sz w:val="28"/>
          <w:szCs w:val="28"/>
          <w:lang w:val="zh-CN"/>
        </w:rPr>
      </w:pPr>
      <w:r>
        <w:rPr>
          <w:bCs/>
          <w:lang w:val="zh-CN"/>
        </w:rPr>
        <w:br w:type="page"/>
      </w:r>
    </w:p>
    <w:p>
      <w:pPr>
        <w:pStyle w:val="8"/>
        <w:spacing w:before="120" w:beforeLines="50" w:after="120" w:afterLines="50"/>
        <w:rPr>
          <w:b w:val="0"/>
          <w:lang w:val="zh-CN"/>
        </w:rPr>
      </w:pPr>
      <w:bookmarkStart w:id="392" w:name="_Toc27827"/>
      <w:bookmarkStart w:id="393" w:name="_Toc17310"/>
      <w:bookmarkStart w:id="394" w:name="_Toc1727"/>
      <w:bookmarkStart w:id="395" w:name="_Toc2760"/>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392"/>
      <w:bookmarkEnd w:id="393"/>
      <w:bookmarkEnd w:id="394"/>
      <w:bookmarkEnd w:id="395"/>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pPr>
        <w:widowControl/>
        <w:ind w:firstLine="480" w:firstLineChars="200"/>
        <w:jc w:val="left"/>
        <w:rPr>
          <w:rFonts w:hint="eastAsia" w:ascii="Arial" w:hAnsi="Arial" w:eastAsia="黑体"/>
          <w:bCs/>
          <w:sz w:val="28"/>
          <w:szCs w:val="28"/>
        </w:rPr>
      </w:pPr>
      <w:r>
        <w:rPr>
          <w:bCs/>
        </w:rPr>
        <w:br w:type="page"/>
      </w:r>
    </w:p>
    <w:p>
      <w:pPr>
        <w:pStyle w:val="8"/>
        <w:spacing w:before="120" w:beforeLines="50" w:after="120" w:afterLines="50"/>
        <w:rPr>
          <w:b w:val="0"/>
          <w:lang w:val="zh-CN"/>
        </w:rPr>
      </w:pPr>
      <w:bookmarkStart w:id="396" w:name="_Toc19414"/>
      <w:bookmarkStart w:id="397" w:name="_Toc18461"/>
      <w:bookmarkStart w:id="398" w:name="_Toc12004"/>
      <w:bookmarkStart w:id="399" w:name="_Toc4199"/>
      <w:bookmarkStart w:id="400" w:name="_Toc20080"/>
      <w:bookmarkStart w:id="401" w:name="_Toc10809"/>
      <w:bookmarkStart w:id="402" w:name="_Toc23830"/>
      <w:bookmarkStart w:id="403" w:name="_Toc20757"/>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396"/>
      <w:bookmarkEnd w:id="397"/>
      <w:bookmarkEnd w:id="398"/>
      <w:bookmarkEnd w:id="399"/>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近3年会计师事务所出具的审计报告</w:t>
      </w:r>
    </w:p>
    <w:p>
      <w:pPr>
        <w:pStyle w:val="20"/>
        <w:spacing w:line="560" w:lineRule="exact"/>
        <w:ind w:firstLine="560" w:firstLineChars="200"/>
        <w:rPr>
          <w:rFonts w:hint="eastAsia"/>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pPr>
        <w:rPr>
          <w:sz w:val="21"/>
          <w:lang w:val="zh-CN"/>
        </w:rPr>
      </w:pPr>
    </w:p>
    <w:p>
      <w:pPr>
        <w:rPr>
          <w:lang w:val="zh-CN"/>
        </w:rPr>
      </w:pPr>
    </w:p>
    <w:p>
      <w:pPr>
        <w:widowControl/>
        <w:ind w:firstLine="480" w:firstLineChars="200"/>
        <w:jc w:val="left"/>
        <w:rPr>
          <w:rFonts w:ascii="Arial" w:hAnsi="Arial" w:eastAsia="黑体"/>
          <w:bCs/>
          <w:sz w:val="28"/>
          <w:szCs w:val="28"/>
          <w:lang w:val="zh-CN"/>
        </w:rPr>
      </w:pPr>
      <w:r>
        <w:rPr>
          <w:bCs/>
          <w:lang w:val="zh-CN"/>
        </w:rPr>
        <w:br w:type="page"/>
      </w:r>
    </w:p>
    <w:p>
      <w:pPr>
        <w:pStyle w:val="8"/>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00"/>
      <w:bookmarkEnd w:id="401"/>
      <w:bookmarkEnd w:id="402"/>
      <w:bookmarkEnd w:id="403"/>
    </w:p>
    <w:p>
      <w:pPr>
        <w:spacing w:before="120" w:beforeLines="50" w:after="120" w:afterLines="50" w:line="560" w:lineRule="exact"/>
        <w:jc w:val="center"/>
        <w:rPr>
          <w:rFonts w:hint="eastAsia" w:ascii="黑体" w:hAnsi="黑体" w:eastAsia="黑体" w:cs="黑体"/>
          <w:bCs/>
          <w:sz w:val="36"/>
          <w:szCs w:val="36"/>
        </w:rPr>
      </w:pPr>
      <w:r>
        <w:rPr>
          <w:rFonts w:hint="eastAsia" w:ascii="黑体" w:hAnsi="黑体" w:eastAsia="黑体" w:cs="黑体"/>
          <w:bCs/>
          <w:sz w:val="36"/>
          <w:szCs w:val="36"/>
        </w:rPr>
        <w:t>投标保证金缴纳证明材料</w:t>
      </w:r>
    </w:p>
    <w:p>
      <w:pPr>
        <w:spacing w:line="560" w:lineRule="exact"/>
        <w:jc w:val="center"/>
        <w:rPr>
          <w:rFonts w:hint="eastAsia"/>
          <w:bCs/>
          <w:sz w:val="21"/>
        </w:rPr>
      </w:pPr>
      <w:r>
        <w:rPr>
          <w:rFonts w:hint="eastAsia" w:ascii="宋体" w:hAnsi="宋体"/>
          <w:sz w:val="28"/>
          <w:szCs w:val="28"/>
        </w:rPr>
        <w:t>（一般为银行转账凭证，投标保证金应当从投标供应商的银行账户缴纳）</w:t>
      </w:r>
    </w:p>
    <w:p>
      <w:pPr>
        <w:rPr>
          <w:bCs/>
        </w:rPr>
      </w:pPr>
      <w:r>
        <w:rPr>
          <w:bCs/>
        </w:rPr>
        <w:br w:type="page"/>
      </w:r>
    </w:p>
    <w:p>
      <w:pPr>
        <w:pStyle w:val="8"/>
        <w:spacing w:before="120" w:beforeLines="50" w:after="120" w:afterLines="50"/>
        <w:rPr>
          <w:b w:val="0"/>
          <w:lang w:val="zh-CN"/>
        </w:rPr>
      </w:pPr>
      <w:bookmarkStart w:id="404" w:name="_Toc1721"/>
      <w:bookmarkStart w:id="405" w:name="_Toc25249"/>
      <w:bookmarkStart w:id="406" w:name="_Toc6667"/>
      <w:bookmarkStart w:id="407" w:name="_Toc7822"/>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04"/>
      <w:bookmarkEnd w:id="405"/>
      <w:bookmarkEnd w:id="406"/>
      <w:bookmarkEnd w:id="407"/>
      <w:r>
        <w:rPr>
          <w:rFonts w:hint="eastAsia"/>
          <w:b w:val="0"/>
          <w:lang w:val="zh-CN"/>
        </w:rPr>
        <w:t>（如有）</w:t>
      </w:r>
    </w:p>
    <w:p>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pPr>
        <w:spacing w:line="360" w:lineRule="auto"/>
        <w:ind w:firstLine="560" w:firstLineChars="200"/>
        <w:jc w:val="left"/>
        <w:rPr>
          <w:rFonts w:hint="eastAsia"/>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pPr>
        <w:widowControl/>
        <w:ind w:firstLine="480" w:firstLineChars="200"/>
        <w:jc w:val="left"/>
        <w:rPr>
          <w:bCs/>
          <w:sz w:val="21"/>
          <w:lang w:val="zh-CN"/>
        </w:rPr>
      </w:pPr>
      <w:r>
        <w:rPr>
          <w:bCs/>
          <w:lang w:val="zh-CN"/>
        </w:rPr>
        <w:br w:type="page"/>
      </w:r>
    </w:p>
    <w:p>
      <w:pPr>
        <w:keepNext/>
        <w:keepLines/>
        <w:spacing w:before="120" w:beforeLines="50" w:after="120" w:afterLines="50" w:line="560" w:lineRule="exact"/>
        <w:outlineLvl w:val="3"/>
        <w:rPr>
          <w:rFonts w:ascii="Arial" w:hAnsi="Arial" w:eastAsia="黑体"/>
          <w:bCs/>
          <w:sz w:val="28"/>
          <w:szCs w:val="28"/>
        </w:rPr>
      </w:pPr>
      <w:bookmarkStart w:id="408" w:name="_Toc302"/>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11</w:t>
      </w:r>
      <w:r>
        <w:rPr>
          <w:rFonts w:ascii="Arial" w:hAnsi="Arial" w:eastAsia="黑体"/>
          <w:bCs/>
          <w:sz w:val="28"/>
          <w:szCs w:val="28"/>
          <w:lang w:val="zh-CN"/>
        </w:rPr>
        <w:t xml:space="preserve"> </w:t>
      </w:r>
      <w:r>
        <w:rPr>
          <w:rFonts w:hint="eastAsia" w:ascii="Arial" w:hAnsi="Arial" w:eastAsia="黑体"/>
          <w:bCs/>
          <w:sz w:val="28"/>
          <w:szCs w:val="28"/>
        </w:rPr>
        <w:t>其他资料</w:t>
      </w:r>
      <w:bookmarkEnd w:id="408"/>
    </w:p>
    <w:p>
      <w:pPr>
        <w:pStyle w:val="20"/>
        <w:jc w:val="center"/>
        <w:rPr>
          <w:rFonts w:ascii="黑体" w:hAnsi="黑体" w:eastAsia="黑体" w:cs="黑体"/>
          <w:bCs/>
          <w:sz w:val="36"/>
          <w:szCs w:val="36"/>
        </w:rPr>
      </w:pPr>
      <w:r>
        <w:rPr>
          <w:rFonts w:hint="eastAsia" w:ascii="黑体" w:hAnsi="黑体" w:eastAsia="黑体" w:cs="黑体"/>
          <w:bCs/>
          <w:sz w:val="36"/>
          <w:szCs w:val="36"/>
        </w:rPr>
        <w:t>其他资料</w:t>
      </w:r>
    </w:p>
    <w:p>
      <w:pPr>
        <w:jc w:val="center"/>
        <w:rPr>
          <w:rFonts w:hint="eastAsia"/>
          <w:sz w:val="28"/>
          <w:szCs w:val="28"/>
        </w:rPr>
      </w:pPr>
      <w:r>
        <w:rPr>
          <w:rFonts w:hint="eastAsia"/>
          <w:sz w:val="28"/>
          <w:szCs w:val="28"/>
        </w:rPr>
        <w:t>（投标供应商根据招标文件规定的资格要求，自行添加其他资料）</w:t>
      </w:r>
    </w:p>
    <w:p>
      <w:pPr>
        <w:pStyle w:val="20"/>
      </w:pPr>
    </w:p>
    <w:p/>
    <w:p>
      <w:pPr>
        <w:widowControl/>
        <w:jc w:val="left"/>
        <w:sectPr>
          <w:pgSz w:w="11906" w:h="16838"/>
          <w:pgMar w:top="1418" w:right="1134" w:bottom="1418" w:left="1418" w:header="851" w:footer="851" w:gutter="0"/>
          <w:cols w:space="720" w:num="1"/>
        </w:sectPr>
      </w:pPr>
    </w:p>
    <w:p>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军队物资类项目公开招标文件</w:t>
      </w:r>
      <w:r>
        <w:rPr>
          <w:rFonts w:hint="eastAsia" w:ascii="方正小标宋简体" w:eastAsia="方正小标宋简体"/>
          <w:i/>
          <w:iCs/>
          <w:sz w:val="48"/>
          <w:szCs w:val="48"/>
        </w:rPr>
        <w:t>（2.0版）</w:t>
      </w:r>
    </w:p>
    <w:p>
      <w:pPr>
        <w:pStyle w:val="5"/>
        <w:jc w:val="center"/>
        <w:rPr>
          <w:rFonts w:hint="eastAsia" w:ascii="方正小标宋简体" w:eastAsia="方正小标宋简体"/>
          <w:sz w:val="84"/>
          <w:szCs w:val="84"/>
        </w:rPr>
      </w:pPr>
      <w:bookmarkStart w:id="409" w:name="_Toc130886988"/>
      <w:bookmarkStart w:id="410" w:name="_Toc130657981"/>
      <w:bookmarkStart w:id="411" w:name="_Toc130887489"/>
      <w:bookmarkStart w:id="412" w:name="_Toc128150123"/>
      <w:bookmarkStart w:id="413" w:name="_Toc127820554"/>
      <w:bookmarkStart w:id="414" w:name="_Toc128397959"/>
      <w:bookmarkStart w:id="415" w:name="_Toc128150767"/>
      <w:bookmarkStart w:id="416" w:name="_Toc130657527"/>
      <w:bookmarkStart w:id="417" w:name="_Toc128151016"/>
      <w:r>
        <w:rPr>
          <w:rFonts w:hint="eastAsia" w:ascii="方正小标宋简体" w:eastAsia="方正小标宋简体"/>
          <w:sz w:val="84"/>
          <w:szCs w:val="84"/>
        </w:rPr>
        <w:t>专用文件</w:t>
      </w:r>
      <w:bookmarkEnd w:id="409"/>
      <w:bookmarkEnd w:id="410"/>
      <w:bookmarkEnd w:id="411"/>
      <w:bookmarkEnd w:id="412"/>
      <w:bookmarkEnd w:id="413"/>
      <w:bookmarkEnd w:id="414"/>
      <w:bookmarkEnd w:id="415"/>
      <w:bookmarkEnd w:id="416"/>
      <w:bookmarkEnd w:id="417"/>
    </w:p>
    <w:p>
      <w:pPr>
        <w:pStyle w:val="24"/>
        <w:adjustRightInd w:val="0"/>
        <w:snapToGrid w:val="0"/>
        <w:spacing w:line="240" w:lineRule="atLeast"/>
        <w:jc w:val="center"/>
        <w:rPr>
          <w:rFonts w:hint="eastAsia" w:hAnsi="宋体"/>
          <w:bCs/>
          <w:sz w:val="32"/>
          <w:szCs w:val="32"/>
        </w:rPr>
      </w:pPr>
    </w:p>
    <w:p>
      <w:pPr>
        <w:pStyle w:val="24"/>
        <w:adjustRightInd w:val="0"/>
        <w:snapToGrid w:val="0"/>
        <w:spacing w:line="240" w:lineRule="atLeast"/>
        <w:jc w:val="center"/>
        <w:rPr>
          <w:rFonts w:hint="eastAsia" w:hAnsi="宋体"/>
          <w:bCs/>
          <w:sz w:val="32"/>
          <w:szCs w:val="32"/>
        </w:rPr>
      </w:pPr>
    </w:p>
    <w:p>
      <w:pPr>
        <w:pStyle w:val="24"/>
        <w:adjustRightInd w:val="0"/>
        <w:snapToGrid w:val="0"/>
        <w:spacing w:line="240" w:lineRule="atLeast"/>
        <w:jc w:val="center"/>
        <w:rPr>
          <w:rFonts w:hint="eastAsia" w:hAnsi="宋体"/>
          <w:bCs/>
          <w:sz w:val="32"/>
          <w:szCs w:val="32"/>
        </w:rPr>
      </w:pPr>
    </w:p>
    <w:p>
      <w:pPr>
        <w:pStyle w:val="24"/>
        <w:adjustRightInd w:val="0"/>
        <w:snapToGrid w:val="0"/>
        <w:spacing w:line="240" w:lineRule="atLeast"/>
        <w:jc w:val="center"/>
        <w:rPr>
          <w:rFonts w:hint="eastAsia" w:hAnsi="宋体"/>
          <w:bCs/>
          <w:sz w:val="32"/>
          <w:szCs w:val="32"/>
        </w:rPr>
      </w:pPr>
    </w:p>
    <w:p>
      <w:pPr>
        <w:spacing w:line="560" w:lineRule="exact"/>
        <w:rPr>
          <w:rFonts w:hint="eastAsia" w:ascii="方正小标宋简体" w:eastAsia="方正小标宋简体"/>
          <w:bCs/>
          <w:sz w:val="36"/>
          <w:szCs w:val="36"/>
          <w:u w:val="single"/>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2024年某医院下半年医疗设备</w:t>
      </w:r>
    </w:p>
    <w:p>
      <w:pPr>
        <w:spacing w:line="560" w:lineRule="exact"/>
        <w:ind w:firstLine="1800" w:firstLineChars="500"/>
        <w:rPr>
          <w:rFonts w:hint="default" w:ascii="方正小标宋简体" w:eastAsia="方正小标宋简体"/>
          <w:bCs/>
          <w:sz w:val="36"/>
          <w:szCs w:val="36"/>
          <w:u w:val="single"/>
          <w:lang w:val="en-US"/>
        </w:rPr>
      </w:pPr>
      <w:r>
        <w:rPr>
          <w:rFonts w:hint="eastAsia" w:ascii="方正小标宋简体" w:eastAsia="方正小标宋简体"/>
          <w:bCs/>
          <w:sz w:val="36"/>
          <w:szCs w:val="36"/>
          <w:u w:val="single"/>
          <w:lang w:eastAsia="zh-CN"/>
        </w:rPr>
        <w:t>采购项目（</w:t>
      </w:r>
      <w:r>
        <w:rPr>
          <w:rFonts w:hint="eastAsia" w:ascii="方正小标宋简体" w:eastAsia="方正小标宋简体"/>
          <w:bCs/>
          <w:sz w:val="36"/>
          <w:szCs w:val="36"/>
          <w:u w:val="single"/>
          <w:lang w:val="en-US" w:eastAsia="zh-CN"/>
        </w:rPr>
        <w:t>10包</w:t>
      </w:r>
      <w:r>
        <w:rPr>
          <w:rFonts w:hint="eastAsia" w:ascii="方正小标宋简体" w:eastAsia="方正小标宋简体"/>
          <w:bCs/>
          <w:sz w:val="36"/>
          <w:szCs w:val="36"/>
          <w:u w:val="single"/>
          <w:lang w:eastAsia="zh-CN"/>
        </w:rPr>
        <w:t>）（</w:t>
      </w:r>
      <w:r>
        <w:rPr>
          <w:rFonts w:hint="eastAsia" w:ascii="方正小标宋简体" w:eastAsia="方正小标宋简体"/>
          <w:bCs/>
          <w:sz w:val="36"/>
          <w:szCs w:val="36"/>
          <w:u w:val="single"/>
          <w:lang w:val="en-US" w:eastAsia="zh-CN"/>
        </w:rPr>
        <w:t>二次</w:t>
      </w:r>
      <w:r>
        <w:rPr>
          <w:rFonts w:hint="eastAsia" w:ascii="方正小标宋简体" w:eastAsia="方正小标宋简体"/>
          <w:bCs/>
          <w:sz w:val="36"/>
          <w:szCs w:val="36"/>
          <w:u w:val="single"/>
          <w:lang w:eastAsia="zh-CN"/>
        </w:rPr>
        <w:t>）</w:t>
      </w:r>
    </w:p>
    <w:p>
      <w:pPr>
        <w:spacing w:line="560" w:lineRule="exact"/>
        <w:rPr>
          <w:rFonts w:hint="eastAsia" w:ascii="方正小标宋简体" w:eastAsia="方正小标宋简体"/>
          <w:bCs/>
          <w:sz w:val="36"/>
          <w:szCs w:val="36"/>
          <w:highlight w:val="none"/>
          <w:u w:val="single"/>
        </w:rPr>
      </w:pPr>
      <w:r>
        <w:rPr>
          <w:rFonts w:hint="eastAsia" w:ascii="方正小标宋简体" w:eastAsia="方正小标宋简体"/>
          <w:bCs/>
          <w:sz w:val="36"/>
          <w:szCs w:val="36"/>
          <w:highlight w:val="none"/>
        </w:rPr>
        <w:t>项目编号：</w:t>
      </w:r>
      <w:r>
        <w:rPr>
          <w:rFonts w:hint="eastAsia" w:ascii="方正小标宋简体" w:eastAsia="方正小标宋简体"/>
          <w:bCs/>
          <w:sz w:val="36"/>
          <w:szCs w:val="36"/>
          <w:highlight w:val="none"/>
          <w:u w:val="single"/>
          <w:lang w:eastAsia="zh-CN"/>
        </w:rPr>
        <w:t>2024-JLJ</w:t>
      </w:r>
      <w:r>
        <w:rPr>
          <w:rFonts w:hint="eastAsia" w:ascii="方正小标宋简体" w:eastAsia="方正小标宋简体"/>
          <w:bCs/>
          <w:sz w:val="36"/>
          <w:szCs w:val="36"/>
          <w:highlight w:val="none"/>
          <w:u w:val="single"/>
          <w:lang w:val="en-US" w:eastAsia="zh-CN"/>
        </w:rPr>
        <w:t>A</w:t>
      </w:r>
      <w:r>
        <w:rPr>
          <w:rFonts w:hint="eastAsia" w:ascii="方正小标宋简体" w:eastAsia="方正小标宋简体"/>
          <w:bCs/>
          <w:sz w:val="36"/>
          <w:szCs w:val="36"/>
          <w:highlight w:val="none"/>
          <w:u w:val="single"/>
          <w:lang w:eastAsia="zh-CN"/>
        </w:rPr>
        <w:t>AA-W3026</w:t>
      </w:r>
    </w:p>
    <w:p>
      <w:pPr>
        <w:pStyle w:val="24"/>
        <w:adjustRightInd w:val="0"/>
        <w:snapToGrid w:val="0"/>
        <w:spacing w:line="240" w:lineRule="atLeast"/>
        <w:jc w:val="center"/>
        <w:rPr>
          <w:rFonts w:hint="eastAsia" w:hAnsi="宋体"/>
          <w:bCs/>
          <w:sz w:val="32"/>
          <w:szCs w:val="32"/>
          <w:highlight w:val="none"/>
        </w:rPr>
      </w:pPr>
    </w:p>
    <w:p>
      <w:pPr>
        <w:pStyle w:val="24"/>
        <w:adjustRightInd w:val="0"/>
        <w:snapToGrid w:val="0"/>
        <w:spacing w:line="240" w:lineRule="atLeast"/>
        <w:jc w:val="center"/>
        <w:rPr>
          <w:rFonts w:hint="eastAsia" w:hAnsi="宋体"/>
          <w:bCs/>
          <w:sz w:val="32"/>
          <w:szCs w:val="32"/>
          <w:highlight w:val="none"/>
        </w:rPr>
      </w:pPr>
    </w:p>
    <w:p>
      <w:pPr>
        <w:pStyle w:val="24"/>
        <w:adjustRightInd w:val="0"/>
        <w:snapToGrid w:val="0"/>
        <w:spacing w:line="240" w:lineRule="atLeast"/>
        <w:jc w:val="center"/>
        <w:rPr>
          <w:rFonts w:hint="eastAsia" w:hAnsi="宋体"/>
          <w:bCs/>
          <w:sz w:val="32"/>
          <w:szCs w:val="32"/>
          <w:highlight w:val="none"/>
        </w:rPr>
      </w:pPr>
    </w:p>
    <w:p>
      <w:pPr>
        <w:jc w:val="center"/>
        <w:rPr>
          <w:rFonts w:hint="eastAsia" w:ascii="方正小标宋简体" w:eastAsia="方正小标宋简体"/>
          <w:bCs/>
          <w:sz w:val="36"/>
          <w:szCs w:val="36"/>
          <w:highlight w:val="none"/>
        </w:rPr>
      </w:pPr>
    </w:p>
    <w:p>
      <w:pPr>
        <w:jc w:val="center"/>
        <w:rPr>
          <w:rFonts w:hint="eastAsia" w:ascii="方正小标宋简体" w:eastAsia="方正小标宋简体"/>
          <w:bCs/>
          <w:sz w:val="36"/>
          <w:szCs w:val="36"/>
          <w:highlight w:val="none"/>
        </w:rPr>
      </w:pPr>
      <w:r>
        <w:rPr>
          <w:rFonts w:hint="eastAsia" w:ascii="方正小标宋简体" w:eastAsia="方正小标宋简体"/>
          <w:sz w:val="36"/>
          <w:szCs w:val="36"/>
          <w:highlight w:val="none"/>
          <w:lang w:val="en-US" w:eastAsia="zh-CN"/>
        </w:rPr>
        <w:t>项目</w:t>
      </w:r>
      <w:r>
        <w:rPr>
          <w:rFonts w:hint="eastAsia" w:ascii="方正小标宋简体" w:eastAsia="方正小标宋简体"/>
          <w:sz w:val="36"/>
          <w:szCs w:val="36"/>
          <w:highlight w:val="none"/>
        </w:rPr>
        <w:t>机构：</w:t>
      </w:r>
      <w:r>
        <w:rPr>
          <w:rFonts w:hint="eastAsia" w:ascii="方正小标宋简体" w:eastAsia="方正小标宋简体"/>
          <w:bCs/>
          <w:sz w:val="36"/>
          <w:szCs w:val="36"/>
          <w:highlight w:val="none"/>
          <w:u w:val="single"/>
          <w:lang w:eastAsia="zh-CN"/>
        </w:rPr>
        <w:t xml:space="preserve"> 新疆新建联项目管理咨询有限公司</w:t>
      </w:r>
      <w:r>
        <w:rPr>
          <w:rFonts w:hint="eastAsia" w:ascii="方正小标宋简体" w:eastAsia="方正小标宋简体"/>
          <w:bCs/>
          <w:sz w:val="36"/>
          <w:szCs w:val="36"/>
          <w:highlight w:val="none"/>
        </w:rPr>
        <w:t>（盖章）</w:t>
      </w:r>
    </w:p>
    <w:p>
      <w:pPr>
        <w:spacing w:before="240" w:beforeLines="100"/>
        <w:jc w:val="center"/>
        <w:rPr>
          <w:rFonts w:hint="eastAsia" w:hAnsi="宋体"/>
          <w:bCs/>
          <w:sz w:val="32"/>
          <w:szCs w:val="32"/>
          <w:highlight w:val="none"/>
        </w:rPr>
      </w:pPr>
      <w:r>
        <w:rPr>
          <w:rFonts w:hint="eastAsia" w:ascii="方正小标宋简体" w:eastAsia="方正小标宋简体"/>
          <w:bCs/>
          <w:sz w:val="36"/>
          <w:szCs w:val="36"/>
          <w:highlight w:val="none"/>
          <w:u w:val="single"/>
        </w:rPr>
        <w:t>202</w:t>
      </w:r>
      <w:r>
        <w:rPr>
          <w:rFonts w:hint="eastAsia" w:ascii="方正小标宋简体" w:eastAsia="方正小标宋简体"/>
          <w:bCs/>
          <w:sz w:val="36"/>
          <w:szCs w:val="36"/>
          <w:highlight w:val="none"/>
          <w:u w:val="single"/>
          <w:lang w:val="en-US" w:eastAsia="zh-CN"/>
        </w:rPr>
        <w:t>5</w:t>
      </w:r>
      <w:r>
        <w:rPr>
          <w:rFonts w:hint="eastAsia" w:ascii="方正小标宋简体" w:eastAsia="方正小标宋简体"/>
          <w:bCs/>
          <w:sz w:val="36"/>
          <w:szCs w:val="36"/>
          <w:highlight w:val="none"/>
        </w:rPr>
        <w:t>年</w:t>
      </w:r>
      <w:r>
        <w:rPr>
          <w:rFonts w:hint="eastAsia" w:ascii="方正小标宋简体" w:eastAsia="方正小标宋简体"/>
          <w:bCs/>
          <w:sz w:val="36"/>
          <w:szCs w:val="36"/>
          <w:highlight w:val="none"/>
          <w:u w:val="single"/>
          <w:lang w:val="en-US" w:eastAsia="zh-CN"/>
        </w:rPr>
        <w:t>2</w:t>
      </w:r>
      <w:r>
        <w:rPr>
          <w:rFonts w:hint="eastAsia" w:ascii="方正小标宋简体" w:eastAsia="方正小标宋简体"/>
          <w:bCs/>
          <w:sz w:val="36"/>
          <w:szCs w:val="36"/>
          <w:highlight w:val="none"/>
        </w:rPr>
        <w:t>月</w:t>
      </w:r>
    </w:p>
    <w:p>
      <w:pPr>
        <w:pStyle w:val="24"/>
        <w:adjustRightInd w:val="0"/>
        <w:snapToGrid w:val="0"/>
        <w:spacing w:line="240" w:lineRule="atLeast"/>
        <w:jc w:val="center"/>
        <w:rPr>
          <w:rFonts w:hAnsi="宋体"/>
          <w:bCs/>
          <w:sz w:val="32"/>
          <w:szCs w:val="32"/>
        </w:rPr>
      </w:pPr>
    </w:p>
    <w:p>
      <w:pPr>
        <w:pStyle w:val="24"/>
        <w:adjustRightInd w:val="0"/>
        <w:snapToGrid w:val="0"/>
        <w:spacing w:line="240" w:lineRule="atLeast"/>
        <w:jc w:val="center"/>
        <w:rPr>
          <w:rFonts w:hint="eastAsia" w:ascii="楷体" w:hAnsi="楷体" w:eastAsia="楷体"/>
          <w:bCs/>
          <w:sz w:val="30"/>
          <w:szCs w:val="30"/>
        </w:rPr>
      </w:pPr>
    </w:p>
    <w:p>
      <w:pPr>
        <w:pStyle w:val="24"/>
        <w:adjustRightInd w:val="0"/>
        <w:snapToGrid w:val="0"/>
        <w:spacing w:line="240" w:lineRule="atLeast"/>
        <w:jc w:val="center"/>
        <w:rPr>
          <w:rFonts w:hint="eastAsia" w:ascii="楷体" w:hAnsi="楷体" w:eastAsia="楷体"/>
          <w:bCs/>
          <w:sz w:val="30"/>
          <w:szCs w:val="30"/>
        </w:rPr>
      </w:pPr>
    </w:p>
    <w:p>
      <w:pPr>
        <w:pStyle w:val="24"/>
        <w:adjustRightInd w:val="0"/>
        <w:snapToGrid w:val="0"/>
        <w:spacing w:line="240" w:lineRule="atLeast"/>
        <w:jc w:val="center"/>
        <w:rPr>
          <w:rFonts w:hint="eastAsia" w:ascii="楷体" w:hAnsi="楷体" w:eastAsia="楷体"/>
          <w:bCs/>
          <w:sz w:val="30"/>
          <w:szCs w:val="30"/>
        </w:rPr>
      </w:pPr>
    </w:p>
    <w:p>
      <w:pPr>
        <w:pStyle w:val="6"/>
        <w:keepNext w:val="0"/>
        <w:keepLines w:val="0"/>
        <w:adjustRightInd w:val="0"/>
        <w:snapToGrid w:val="0"/>
        <w:spacing w:line="560" w:lineRule="exact"/>
        <w:jc w:val="center"/>
        <w:rPr>
          <w:rFonts w:hint="eastAsia" w:eastAsia="方正小标宋简体"/>
          <w:b w:val="0"/>
          <w:bCs/>
          <w:sz w:val="44"/>
          <w:szCs w:val="44"/>
          <w:lang w:val="zh-CN"/>
        </w:rPr>
      </w:pPr>
      <w:r>
        <w:rPr>
          <w:rFonts w:hint="eastAsia"/>
          <w:b w:val="0"/>
          <w:szCs w:val="44"/>
          <w:lang w:val="zh-CN"/>
        </w:rPr>
        <w:t>特别提示</w:t>
      </w:r>
    </w:p>
    <w:p>
      <w:pPr>
        <w:pStyle w:val="89"/>
        <w:spacing w:line="560" w:lineRule="exact"/>
        <w:ind w:firstLine="560" w:firstLineChars="200"/>
        <w:jc w:val="both"/>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采购机构未提供通用文件的，请从军队采购网（www.plap.mil.cn）“采购标准规范”栏下载，并注意下载文件为《军队物资类项目公开招标文件（2.0版）通用文件》。</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三、投标供应商参加本项目前，应当在军队采购网登记备案，如实提供相关材料。备案材料可作为资格性审查和评审的依据。</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四、投标供应商应当特别留意招标文件上载明的投标开始截止时间和地点，逾期送达的投标文件将被拒收，投标时法定代表人（或非法人组织主要负责人，下同）应当随身携带</w:t>
      </w:r>
      <w:r>
        <w:rPr>
          <w:rFonts w:hint="eastAsia" w:ascii="黑体" w:hAnsi="黑体" w:eastAsia="黑体"/>
          <w:bCs/>
          <w:color w:val="auto"/>
          <w:szCs w:val="28"/>
        </w:rPr>
        <w:t>身份证（原件），</w:t>
      </w:r>
      <w:r>
        <w:rPr>
          <w:rFonts w:hint="eastAsia" w:ascii="仿宋_GB2312" w:eastAsia="仿宋_GB2312"/>
          <w:bCs/>
          <w:color w:val="auto"/>
          <w:szCs w:val="28"/>
        </w:rPr>
        <w:t>授权代表应当随身携带</w:t>
      </w:r>
      <w:r>
        <w:rPr>
          <w:rFonts w:hint="eastAsia" w:ascii="黑体" w:hAnsi="黑体" w:eastAsia="黑体"/>
          <w:bCs/>
          <w:color w:val="auto"/>
          <w:szCs w:val="28"/>
        </w:rPr>
        <w:t>身份证（原件）、法定代表人授权书和授权代表在投标前4个月内（不含投标当月）连续3个月由投标供应商缴纳社保证明材料的复印件，代缴社保证明材料不予认可。未按上述要求提供材料的，投标文件将被拒收。</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五、投标保证金应当采取非现金方式缴纳。采取汇款方式缴纳的，</w:t>
      </w:r>
      <w:r>
        <w:rPr>
          <w:rFonts w:hint="eastAsia" w:ascii="仿宋_GB2312" w:hAnsi="宋体" w:eastAsia="仿宋_GB2312"/>
          <w:bCs/>
          <w:color w:val="auto"/>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银行保函方式缴纳的，应当提供1份银行保函原件，投标时单独提交。未按规定缴纳投标保证金的，视为无效投标。</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十三、本招标文件中所有时间均为北京时间。文件中“近*年/月”“最近*年/月”“前*年/月”均是指以投标截止时间为基准点向前推算。投标截止时间在6月1日（不含）前，近3年财务报表指上年度之前的3年 (不含上年度)，投标截止时间在6月1日（含）后，近3年财务报表指本年度之前的3年（含上年度），特别说明除外。</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pPr>
        <w:pStyle w:val="89"/>
        <w:spacing w:line="560" w:lineRule="exact"/>
        <w:ind w:firstLine="560" w:firstLineChars="200"/>
        <w:jc w:val="both"/>
        <w:rPr>
          <w:rFonts w:hint="eastAsia"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pPr>
        <w:pStyle w:val="89"/>
        <w:spacing w:line="560" w:lineRule="exact"/>
        <w:ind w:firstLine="560" w:firstLineChars="200"/>
        <w:jc w:val="both"/>
        <w:rPr>
          <w:rFonts w:hint="eastAsia" w:ascii="方正小标宋简体" w:eastAsia="方正小标宋简体"/>
          <w:color w:val="auto"/>
        </w:rPr>
      </w:pPr>
      <w:r>
        <w:rPr>
          <w:rFonts w:hint="eastAsia" w:ascii="仿宋_GB2312" w:eastAsia="仿宋_GB2312"/>
          <w:bCs/>
          <w:color w:val="auto"/>
          <w:szCs w:val="28"/>
        </w:rPr>
        <w:t>十七、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pPr>
        <w:widowControl/>
        <w:jc w:val="left"/>
        <w:sectPr>
          <w:pgSz w:w="11906" w:h="16838"/>
          <w:pgMar w:top="1418" w:right="1134" w:bottom="1418" w:left="1418" w:header="851" w:footer="851" w:gutter="0"/>
          <w:cols w:space="720" w:num="1"/>
        </w:sectPr>
      </w:pPr>
    </w:p>
    <w:bookmarkEnd w:id="15"/>
    <w:p>
      <w:pPr>
        <w:pStyle w:val="24"/>
        <w:adjustRightInd w:val="0"/>
        <w:snapToGrid w:val="0"/>
        <w:spacing w:line="560" w:lineRule="exact"/>
        <w:jc w:val="center"/>
        <w:rPr>
          <w:rFonts w:hint="eastAsia" w:ascii="黑体" w:hAnsi="黑体" w:eastAsia="黑体" w:cs="黑体"/>
          <w:bCs/>
          <w:sz w:val="44"/>
          <w:szCs w:val="44"/>
        </w:rPr>
      </w:pPr>
      <w:r>
        <w:rPr>
          <w:rFonts w:hint="eastAsia" w:ascii="黑体" w:hAnsi="黑体" w:eastAsia="黑体" w:cs="黑体"/>
          <w:bCs/>
          <w:sz w:val="44"/>
          <w:szCs w:val="44"/>
        </w:rPr>
        <w:t>目   录</w:t>
      </w:r>
    </w:p>
    <w:p>
      <w:pPr>
        <w:pStyle w:val="36"/>
        <w:tabs>
          <w:tab w:val="right" w:leader="dot" w:pos="9344"/>
        </w:tabs>
        <w:ind w:left="480"/>
        <w:rPr>
          <w:rFonts w:hint="eastAsia" w:ascii="宋体" w:hAnsi="宋体" w:cstheme="minorBidi"/>
          <w:sz w:val="28"/>
          <w:szCs w:val="28"/>
        </w:rPr>
      </w:pPr>
      <w:r>
        <w:rPr>
          <w:rFonts w:hint="eastAsia" w:ascii="宋体" w:hAnsi="宋体"/>
          <w:szCs w:val="28"/>
          <w:lang w:val="zh-CN"/>
        </w:rPr>
        <w:t>第四章 投标供应商须知前附表</w:t>
      </w:r>
      <w:r>
        <w:rPr>
          <w:rFonts w:hint="eastAsia" w:ascii="宋体" w:hAnsi="宋体"/>
          <w:szCs w:val="28"/>
        </w:rPr>
        <w:tab/>
      </w:r>
      <w:r>
        <w:fldChar w:fldCharType="begin"/>
      </w:r>
      <w:r>
        <w:rPr>
          <w:rFonts w:hint="eastAsia" w:ascii="宋体" w:hAnsi="宋体"/>
          <w:szCs w:val="28"/>
        </w:rPr>
        <w:instrText xml:space="preserve"> PAGEREF _Toc132190625 \h </w:instrText>
      </w:r>
      <w:r>
        <w:fldChar w:fldCharType="separate"/>
      </w:r>
      <w:r>
        <w:rPr>
          <w:rFonts w:hint="eastAsia" w:ascii="宋体" w:hAnsi="宋体"/>
          <w:szCs w:val="28"/>
        </w:rPr>
        <w:t>74</w:t>
      </w:r>
      <w: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"_Toc132190626" </w:instrText>
      </w:r>
      <w:r>
        <w:fldChar w:fldCharType="separate"/>
      </w:r>
      <w:r>
        <w:rPr>
          <w:rStyle w:val="50"/>
          <w:rFonts w:hint="eastAsia"/>
          <w:szCs w:val="28"/>
        </w:rPr>
        <w:t>附表1 资格性审查表</w:t>
      </w:r>
      <w:r>
        <w:rPr>
          <w:rStyle w:val="50"/>
          <w:rFonts w:hint="eastAsia"/>
          <w:szCs w:val="28"/>
        </w:rPr>
        <w:tab/>
      </w:r>
      <w:r>
        <w:rPr>
          <w:rStyle w:val="50"/>
        </w:rPr>
        <w:fldChar w:fldCharType="begin"/>
      </w:r>
      <w:r>
        <w:rPr>
          <w:rStyle w:val="50"/>
          <w:rFonts w:hint="eastAsia"/>
          <w:szCs w:val="28"/>
        </w:rPr>
        <w:instrText xml:space="preserve"> PAGEREF _Toc132190626 \h </w:instrText>
      </w:r>
      <w:r>
        <w:rPr>
          <w:rStyle w:val="50"/>
        </w:rPr>
        <w:fldChar w:fldCharType="separate"/>
      </w:r>
      <w:r>
        <w:rPr>
          <w:rStyle w:val="50"/>
          <w:rFonts w:hint="eastAsia"/>
          <w:szCs w:val="28"/>
        </w:rPr>
        <w:t>77</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"_Toc132190627" </w:instrText>
      </w:r>
      <w:r>
        <w:fldChar w:fldCharType="separate"/>
      </w:r>
      <w:r>
        <w:rPr>
          <w:rStyle w:val="50"/>
          <w:rFonts w:hint="eastAsia"/>
          <w:szCs w:val="28"/>
        </w:rPr>
        <w:t>附表2 符合性审查表</w:t>
      </w:r>
      <w:r>
        <w:rPr>
          <w:rStyle w:val="50"/>
          <w:rFonts w:hint="eastAsia"/>
          <w:szCs w:val="28"/>
        </w:rPr>
        <w:tab/>
      </w:r>
      <w:r>
        <w:rPr>
          <w:rStyle w:val="50"/>
        </w:rPr>
        <w:fldChar w:fldCharType="begin"/>
      </w:r>
      <w:r>
        <w:rPr>
          <w:rStyle w:val="50"/>
          <w:rFonts w:hint="eastAsia"/>
          <w:szCs w:val="28"/>
        </w:rPr>
        <w:instrText xml:space="preserve"> PAGEREF _Toc132190627 \h </w:instrText>
      </w:r>
      <w:r>
        <w:rPr>
          <w:rStyle w:val="50"/>
        </w:rPr>
        <w:fldChar w:fldCharType="separate"/>
      </w:r>
      <w:r>
        <w:rPr>
          <w:rStyle w:val="50"/>
          <w:rFonts w:hint="eastAsia"/>
          <w:szCs w:val="28"/>
        </w:rPr>
        <w:t>80</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"_Toc132190628" </w:instrText>
      </w:r>
      <w:r>
        <w:fldChar w:fldCharType="separate"/>
      </w:r>
      <w:r>
        <w:rPr>
          <w:rStyle w:val="50"/>
          <w:rFonts w:hint="eastAsia"/>
          <w:szCs w:val="28"/>
        </w:rPr>
        <w:t>附表3 商务评审标准表（综合评分法/质量优先法）</w:t>
      </w:r>
      <w:r>
        <w:rPr>
          <w:rStyle w:val="50"/>
          <w:rFonts w:hint="eastAsia"/>
          <w:szCs w:val="28"/>
        </w:rPr>
        <w:tab/>
      </w:r>
      <w:r>
        <w:rPr>
          <w:rStyle w:val="50"/>
        </w:rPr>
        <w:fldChar w:fldCharType="begin"/>
      </w:r>
      <w:r>
        <w:rPr>
          <w:rStyle w:val="50"/>
          <w:rFonts w:hint="eastAsia"/>
          <w:szCs w:val="28"/>
        </w:rPr>
        <w:instrText xml:space="preserve"> PAGEREF _Toc132190628 \h </w:instrText>
      </w:r>
      <w:r>
        <w:rPr>
          <w:rStyle w:val="50"/>
        </w:rPr>
        <w:fldChar w:fldCharType="separate"/>
      </w:r>
      <w:r>
        <w:rPr>
          <w:rStyle w:val="50"/>
          <w:rFonts w:hint="eastAsia"/>
          <w:szCs w:val="28"/>
        </w:rPr>
        <w:t>81</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"_Toc132190629" </w:instrText>
      </w:r>
      <w:r>
        <w:fldChar w:fldCharType="separate"/>
      </w:r>
      <w:r>
        <w:rPr>
          <w:rStyle w:val="50"/>
          <w:rFonts w:hint="eastAsia"/>
          <w:szCs w:val="28"/>
        </w:rPr>
        <w:t>附表4 技术评审标准表（综合评分法/质量优先法）</w:t>
      </w:r>
      <w:r>
        <w:rPr>
          <w:rStyle w:val="50"/>
          <w:rFonts w:hint="eastAsia"/>
          <w:szCs w:val="28"/>
        </w:rPr>
        <w:tab/>
      </w:r>
      <w:r>
        <w:rPr>
          <w:rStyle w:val="50"/>
        </w:rPr>
        <w:fldChar w:fldCharType="begin"/>
      </w:r>
      <w:r>
        <w:rPr>
          <w:rStyle w:val="50"/>
          <w:rFonts w:hint="eastAsia"/>
          <w:szCs w:val="28"/>
        </w:rPr>
        <w:instrText xml:space="preserve"> PAGEREF _Toc132190629 \h </w:instrText>
      </w:r>
      <w:r>
        <w:rPr>
          <w:rStyle w:val="50"/>
        </w:rPr>
        <w:fldChar w:fldCharType="separate"/>
      </w:r>
      <w:r>
        <w:rPr>
          <w:rStyle w:val="50"/>
          <w:rFonts w:hint="eastAsia"/>
          <w:szCs w:val="28"/>
        </w:rPr>
        <w:t>82</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"_Toc132190630" </w:instrText>
      </w:r>
      <w:r>
        <w:fldChar w:fldCharType="separate"/>
      </w:r>
      <w:r>
        <w:rPr>
          <w:rStyle w:val="50"/>
          <w:rFonts w:hint="eastAsia"/>
          <w:bCs/>
          <w:szCs w:val="28"/>
        </w:rPr>
        <w:t>附表5 价格评审标准表（综合评分法/质量优先法）</w:t>
      </w:r>
      <w:r>
        <w:rPr>
          <w:rStyle w:val="50"/>
          <w:rFonts w:hint="eastAsia"/>
          <w:szCs w:val="28"/>
        </w:rPr>
        <w:tab/>
      </w:r>
      <w:r>
        <w:rPr>
          <w:rStyle w:val="50"/>
        </w:rPr>
        <w:fldChar w:fldCharType="begin"/>
      </w:r>
      <w:r>
        <w:rPr>
          <w:rStyle w:val="50"/>
          <w:rFonts w:hint="eastAsia"/>
          <w:szCs w:val="28"/>
        </w:rPr>
        <w:instrText xml:space="preserve"> PAGEREF _Toc132190630 \h </w:instrText>
      </w:r>
      <w:r>
        <w:rPr>
          <w:rStyle w:val="50"/>
        </w:rPr>
        <w:fldChar w:fldCharType="separate"/>
      </w:r>
      <w:r>
        <w:rPr>
          <w:rStyle w:val="50"/>
          <w:rFonts w:hint="eastAsia"/>
          <w:szCs w:val="28"/>
        </w:rPr>
        <w:t>83</w:t>
      </w:r>
      <w:r>
        <w:rPr>
          <w:rStyle w:val="50"/>
        </w:rPr>
        <w:fldChar w:fldCharType="end"/>
      </w:r>
      <w:r>
        <w:rPr>
          <w:rStyle w:val="50"/>
        </w:rPr>
        <w:fldChar w:fldCharType="end"/>
      </w:r>
    </w:p>
    <w:p>
      <w:pPr>
        <w:pStyle w:val="36"/>
        <w:tabs>
          <w:tab w:val="right" w:leader="dot" w:pos="9344"/>
        </w:tabs>
        <w:ind w:left="480"/>
        <w:rPr>
          <w:rFonts w:hint="eastAsia" w:ascii="宋体" w:hAnsi="宋体"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"_Toc132190631" </w:instrText>
      </w:r>
      <w:r>
        <w:fldChar w:fldCharType="separate"/>
      </w:r>
      <w:r>
        <w:rPr>
          <w:rStyle w:val="50"/>
          <w:rFonts w:hint="eastAsia" w:ascii="宋体" w:hAnsi="宋体"/>
          <w:szCs w:val="28"/>
          <w:lang w:val="zh-CN"/>
        </w:rPr>
        <w:t>第五章 招标公告</w:t>
      </w:r>
      <w:r>
        <w:rPr>
          <w:rStyle w:val="50"/>
          <w:rFonts w:hint="eastAsia" w:ascii="宋体" w:hAnsi="宋体"/>
          <w:szCs w:val="28"/>
        </w:rPr>
        <w:tab/>
      </w:r>
      <w:r>
        <w:rPr>
          <w:rStyle w:val="50"/>
        </w:rPr>
        <w:fldChar w:fldCharType="begin"/>
      </w:r>
      <w:r>
        <w:rPr>
          <w:rStyle w:val="50"/>
          <w:rFonts w:hint="eastAsia" w:ascii="宋体" w:hAnsi="宋体"/>
          <w:szCs w:val="28"/>
        </w:rPr>
        <w:instrText xml:space="preserve"> PAGEREF _Toc132190631 \h </w:instrText>
      </w:r>
      <w:r>
        <w:rPr>
          <w:rStyle w:val="50"/>
        </w:rPr>
        <w:fldChar w:fldCharType="separate"/>
      </w:r>
      <w:r>
        <w:rPr>
          <w:rStyle w:val="50"/>
          <w:rFonts w:hint="eastAsia" w:ascii="宋体" w:hAnsi="宋体"/>
          <w:szCs w:val="28"/>
        </w:rPr>
        <w:t>84</w:t>
      </w:r>
      <w:r>
        <w:rPr>
          <w:rStyle w:val="50"/>
        </w:rPr>
        <w:fldChar w:fldCharType="end"/>
      </w:r>
      <w:r>
        <w:rPr>
          <w:rStyle w:val="50"/>
        </w:rPr>
        <w:fldChar w:fldCharType="end"/>
      </w:r>
    </w:p>
    <w:p>
      <w:pPr>
        <w:pStyle w:val="36"/>
        <w:tabs>
          <w:tab w:val="right" w:leader="dot" w:pos="9344"/>
        </w:tabs>
        <w:ind w:left="480"/>
        <w:rPr>
          <w:rFonts w:hint="eastAsia" w:ascii="宋体" w:hAnsi="宋体"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"_Toc132190632" </w:instrText>
      </w:r>
      <w:r>
        <w:fldChar w:fldCharType="separate"/>
      </w:r>
      <w:r>
        <w:rPr>
          <w:rStyle w:val="50"/>
          <w:rFonts w:hint="eastAsia" w:ascii="宋体" w:hAnsi="宋体"/>
          <w:szCs w:val="28"/>
          <w:lang w:val="zh-CN"/>
        </w:rPr>
        <w:t>第六章 采购项目商务和技术要求</w:t>
      </w:r>
      <w:r>
        <w:rPr>
          <w:rStyle w:val="50"/>
          <w:rFonts w:hint="eastAsia" w:ascii="宋体" w:hAnsi="宋体"/>
          <w:szCs w:val="28"/>
        </w:rPr>
        <w:tab/>
      </w:r>
      <w:r>
        <w:rPr>
          <w:rStyle w:val="50"/>
        </w:rPr>
        <w:fldChar w:fldCharType="begin"/>
      </w:r>
      <w:r>
        <w:rPr>
          <w:rStyle w:val="50"/>
          <w:rFonts w:hint="eastAsia" w:ascii="宋体" w:hAnsi="宋体"/>
          <w:szCs w:val="28"/>
        </w:rPr>
        <w:instrText xml:space="preserve"> PAGEREF _Toc132190632 \h </w:instrText>
      </w:r>
      <w:r>
        <w:rPr>
          <w:rStyle w:val="50"/>
        </w:rPr>
        <w:fldChar w:fldCharType="separate"/>
      </w:r>
      <w:r>
        <w:rPr>
          <w:rStyle w:val="50"/>
          <w:rFonts w:hint="eastAsia" w:ascii="宋体" w:hAnsi="宋体"/>
          <w:szCs w:val="28"/>
        </w:rPr>
        <w:t>89</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"_Toc132190633" </w:instrText>
      </w:r>
      <w:r>
        <w:fldChar w:fldCharType="separate"/>
      </w:r>
      <w:r>
        <w:rPr>
          <w:rStyle w:val="50"/>
          <w:rFonts w:hint="eastAsia" w:cs="黑体"/>
          <w:szCs w:val="28"/>
        </w:rPr>
        <w:t>一、商务要求</w:t>
      </w:r>
      <w:r>
        <w:rPr>
          <w:rStyle w:val="50"/>
          <w:rFonts w:hint="eastAsia"/>
          <w:szCs w:val="28"/>
        </w:rPr>
        <w:tab/>
      </w:r>
      <w:r>
        <w:rPr>
          <w:rStyle w:val="50"/>
        </w:rPr>
        <w:fldChar w:fldCharType="begin"/>
      </w:r>
      <w:r>
        <w:rPr>
          <w:rStyle w:val="50"/>
          <w:rFonts w:hint="eastAsia"/>
          <w:szCs w:val="28"/>
        </w:rPr>
        <w:instrText xml:space="preserve"> PAGEREF _Toc132190633 \h </w:instrText>
      </w:r>
      <w:r>
        <w:rPr>
          <w:rStyle w:val="50"/>
        </w:rPr>
        <w:fldChar w:fldCharType="separate"/>
      </w:r>
      <w:r>
        <w:rPr>
          <w:rStyle w:val="50"/>
          <w:rFonts w:hint="eastAsia"/>
          <w:szCs w:val="28"/>
        </w:rPr>
        <w:t>89</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"_Toc132190634" </w:instrText>
      </w:r>
      <w:r>
        <w:fldChar w:fldCharType="separate"/>
      </w:r>
      <w:r>
        <w:rPr>
          <w:rStyle w:val="50"/>
          <w:rFonts w:hint="eastAsia" w:cs="黑体"/>
          <w:szCs w:val="28"/>
        </w:rPr>
        <w:t>二、技术要求</w:t>
      </w:r>
      <w:r>
        <w:rPr>
          <w:rStyle w:val="50"/>
          <w:rFonts w:hint="eastAsia"/>
          <w:szCs w:val="28"/>
        </w:rPr>
        <w:tab/>
      </w:r>
      <w:r>
        <w:rPr>
          <w:rStyle w:val="50"/>
        </w:rPr>
        <w:fldChar w:fldCharType="begin"/>
      </w:r>
      <w:r>
        <w:rPr>
          <w:rStyle w:val="50"/>
          <w:rFonts w:hint="eastAsia"/>
          <w:szCs w:val="28"/>
        </w:rPr>
        <w:instrText xml:space="preserve"> PAGEREF _Toc132190634 \h </w:instrText>
      </w:r>
      <w:r>
        <w:rPr>
          <w:rStyle w:val="50"/>
        </w:rPr>
        <w:fldChar w:fldCharType="separate"/>
      </w:r>
      <w:r>
        <w:rPr>
          <w:rStyle w:val="50"/>
          <w:rFonts w:hint="eastAsia"/>
          <w:szCs w:val="28"/>
        </w:rPr>
        <w:t>91</w:t>
      </w:r>
      <w:r>
        <w:rPr>
          <w:rStyle w:val="50"/>
        </w:rPr>
        <w:fldChar w:fldCharType="end"/>
      </w:r>
      <w:r>
        <w:rPr>
          <w:rStyle w:val="50"/>
        </w:rPr>
        <w:fldChar w:fldCharType="end"/>
      </w:r>
    </w:p>
    <w:p>
      <w:pPr>
        <w:pStyle w:val="36"/>
        <w:tabs>
          <w:tab w:val="right" w:leader="dot" w:pos="9344"/>
        </w:tabs>
        <w:ind w:left="480"/>
        <w:rPr>
          <w:rFonts w:hint="eastAsia" w:ascii="宋体" w:hAnsi="宋体"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"_Toc132190635" </w:instrText>
      </w:r>
      <w:r>
        <w:fldChar w:fldCharType="separate"/>
      </w:r>
      <w:r>
        <w:rPr>
          <w:rStyle w:val="50"/>
          <w:rFonts w:hint="eastAsia" w:ascii="宋体" w:hAnsi="宋体"/>
          <w:szCs w:val="28"/>
          <w:lang w:val="zh-CN"/>
        </w:rPr>
        <w:t>第七章 合同样本</w:t>
      </w:r>
      <w:r>
        <w:rPr>
          <w:rStyle w:val="50"/>
          <w:rFonts w:hint="eastAsia" w:ascii="宋体" w:hAnsi="宋体"/>
          <w:szCs w:val="28"/>
        </w:rPr>
        <w:tab/>
      </w:r>
      <w:r>
        <w:rPr>
          <w:rStyle w:val="50"/>
        </w:rPr>
        <w:fldChar w:fldCharType="begin"/>
      </w:r>
      <w:r>
        <w:rPr>
          <w:rStyle w:val="50"/>
          <w:rFonts w:hint="eastAsia" w:ascii="宋体" w:hAnsi="宋体"/>
          <w:szCs w:val="28"/>
        </w:rPr>
        <w:instrText xml:space="preserve"> PAGEREF _Toc132190635 \h </w:instrText>
      </w:r>
      <w:r>
        <w:rPr>
          <w:rStyle w:val="50"/>
        </w:rPr>
        <w:fldChar w:fldCharType="separate"/>
      </w:r>
      <w:r>
        <w:rPr>
          <w:rStyle w:val="50"/>
          <w:rFonts w:hint="eastAsia" w:ascii="宋体" w:hAnsi="宋体"/>
          <w:szCs w:val="28"/>
        </w:rPr>
        <w:t>92</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"_Toc132190636" </w:instrText>
      </w:r>
      <w:r>
        <w:fldChar w:fldCharType="separate"/>
      </w:r>
      <w:r>
        <w:rPr>
          <w:rStyle w:val="50"/>
          <w:rFonts w:hint="eastAsia" w:cs="黑体"/>
          <w:szCs w:val="28"/>
        </w:rPr>
        <w:t>一、项目信息</w:t>
      </w:r>
      <w:r>
        <w:rPr>
          <w:rStyle w:val="50"/>
          <w:rFonts w:hint="eastAsia"/>
          <w:szCs w:val="28"/>
        </w:rPr>
        <w:tab/>
      </w:r>
      <w:r>
        <w:rPr>
          <w:rStyle w:val="50"/>
        </w:rPr>
        <w:fldChar w:fldCharType="begin"/>
      </w:r>
      <w:r>
        <w:rPr>
          <w:rStyle w:val="50"/>
          <w:rFonts w:hint="eastAsia"/>
          <w:szCs w:val="28"/>
        </w:rPr>
        <w:instrText xml:space="preserve"> PAGEREF _Toc132190636 \h </w:instrText>
      </w:r>
      <w:r>
        <w:rPr>
          <w:rStyle w:val="50"/>
        </w:rPr>
        <w:fldChar w:fldCharType="separate"/>
      </w:r>
      <w:r>
        <w:rPr>
          <w:rStyle w:val="50"/>
          <w:rFonts w:hint="eastAsia"/>
          <w:szCs w:val="28"/>
        </w:rPr>
        <w:t>93</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"_Toc132190637" </w:instrText>
      </w:r>
      <w:r>
        <w:fldChar w:fldCharType="separate"/>
      </w:r>
      <w:r>
        <w:rPr>
          <w:rStyle w:val="50"/>
          <w:rFonts w:hint="eastAsia" w:cs="黑体"/>
          <w:szCs w:val="28"/>
        </w:rPr>
        <w:t>二、物资内容及质量要求和技术标准</w:t>
      </w:r>
      <w:r>
        <w:rPr>
          <w:rStyle w:val="50"/>
          <w:rFonts w:hint="eastAsia"/>
          <w:szCs w:val="28"/>
        </w:rPr>
        <w:tab/>
      </w:r>
      <w:r>
        <w:rPr>
          <w:rStyle w:val="50"/>
        </w:rPr>
        <w:fldChar w:fldCharType="begin"/>
      </w:r>
      <w:r>
        <w:rPr>
          <w:rStyle w:val="50"/>
          <w:rFonts w:hint="eastAsia"/>
          <w:szCs w:val="28"/>
        </w:rPr>
        <w:instrText xml:space="preserve"> PAGEREF _Toc132190637 \h </w:instrText>
      </w:r>
      <w:r>
        <w:rPr>
          <w:rStyle w:val="50"/>
        </w:rPr>
        <w:fldChar w:fldCharType="separate"/>
      </w:r>
      <w:r>
        <w:rPr>
          <w:rStyle w:val="50"/>
          <w:rFonts w:hint="eastAsia"/>
          <w:szCs w:val="28"/>
        </w:rPr>
        <w:t>93</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"_Toc132190638" </w:instrText>
      </w:r>
      <w:r>
        <w:fldChar w:fldCharType="separate"/>
      </w:r>
      <w:r>
        <w:rPr>
          <w:rStyle w:val="50"/>
          <w:rFonts w:hint="eastAsia" w:cs="黑体"/>
          <w:szCs w:val="28"/>
        </w:rPr>
        <w:t>三、交货时间、地点</w:t>
      </w:r>
      <w:r>
        <w:rPr>
          <w:rStyle w:val="50"/>
          <w:rFonts w:hint="eastAsia"/>
          <w:szCs w:val="28"/>
        </w:rPr>
        <w:tab/>
      </w:r>
      <w:r>
        <w:rPr>
          <w:rStyle w:val="50"/>
        </w:rPr>
        <w:fldChar w:fldCharType="begin"/>
      </w:r>
      <w:r>
        <w:rPr>
          <w:rStyle w:val="50"/>
          <w:rFonts w:hint="eastAsia"/>
          <w:szCs w:val="28"/>
        </w:rPr>
        <w:instrText xml:space="preserve"> PAGEREF _Toc132190638 \h </w:instrText>
      </w:r>
      <w:r>
        <w:rPr>
          <w:rStyle w:val="50"/>
        </w:rPr>
        <w:fldChar w:fldCharType="separate"/>
      </w:r>
      <w:r>
        <w:rPr>
          <w:rStyle w:val="50"/>
          <w:rFonts w:hint="eastAsia"/>
          <w:szCs w:val="28"/>
        </w:rPr>
        <w:t>93</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"_Toc132190639" </w:instrText>
      </w:r>
      <w:r>
        <w:fldChar w:fldCharType="separate"/>
      </w:r>
      <w:r>
        <w:rPr>
          <w:rStyle w:val="50"/>
          <w:rFonts w:hint="eastAsia" w:cs="黑体"/>
          <w:szCs w:val="28"/>
        </w:rPr>
        <w:t>四、包装及技术材料</w:t>
      </w:r>
      <w:r>
        <w:rPr>
          <w:rStyle w:val="50"/>
          <w:rFonts w:hint="eastAsia"/>
          <w:szCs w:val="28"/>
        </w:rPr>
        <w:tab/>
      </w:r>
      <w:r>
        <w:rPr>
          <w:rStyle w:val="50"/>
        </w:rPr>
        <w:fldChar w:fldCharType="begin"/>
      </w:r>
      <w:r>
        <w:rPr>
          <w:rStyle w:val="50"/>
          <w:rFonts w:hint="eastAsia"/>
          <w:szCs w:val="28"/>
        </w:rPr>
        <w:instrText xml:space="preserve"> PAGEREF _Toc132190639 \h </w:instrText>
      </w:r>
      <w:r>
        <w:rPr>
          <w:rStyle w:val="50"/>
        </w:rPr>
        <w:fldChar w:fldCharType="separate"/>
      </w:r>
      <w:r>
        <w:rPr>
          <w:rStyle w:val="50"/>
          <w:rFonts w:hint="eastAsia"/>
          <w:szCs w:val="28"/>
        </w:rPr>
        <w:t>94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"_Toc132190640" </w:instrText>
      </w:r>
      <w:r>
        <w:fldChar w:fldCharType="separate"/>
      </w:r>
      <w:r>
        <w:rPr>
          <w:rStyle w:val="50"/>
          <w:rFonts w:hint="eastAsia" w:cs="黑体"/>
          <w:szCs w:val="28"/>
        </w:rPr>
        <w:t>五、售后服务</w:t>
      </w:r>
      <w:r>
        <w:rPr>
          <w:rStyle w:val="50"/>
          <w:rFonts w:hint="eastAsia"/>
          <w:szCs w:val="28"/>
        </w:rPr>
        <w:tab/>
      </w:r>
      <w:r>
        <w:rPr>
          <w:rStyle w:val="50"/>
        </w:rPr>
        <w:fldChar w:fldCharType="begin"/>
      </w:r>
      <w:r>
        <w:rPr>
          <w:rStyle w:val="50"/>
          <w:rFonts w:hint="eastAsia"/>
          <w:szCs w:val="28"/>
        </w:rPr>
        <w:instrText xml:space="preserve"> PAGEREF _Toc132190640 \h </w:instrText>
      </w:r>
      <w:r>
        <w:rPr>
          <w:rStyle w:val="50"/>
        </w:rPr>
        <w:fldChar w:fldCharType="separate"/>
      </w:r>
      <w:r>
        <w:rPr>
          <w:rStyle w:val="50"/>
          <w:rFonts w:hint="eastAsia"/>
          <w:szCs w:val="28"/>
        </w:rPr>
        <w:t>94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"_Toc132190641" </w:instrText>
      </w:r>
      <w:r>
        <w:fldChar w:fldCharType="separate"/>
      </w:r>
      <w:r>
        <w:rPr>
          <w:rStyle w:val="50"/>
          <w:rFonts w:hint="eastAsia" w:cs="黑体"/>
          <w:bCs/>
          <w:szCs w:val="28"/>
        </w:rPr>
        <w:t>※六、履约保证金</w:t>
      </w:r>
      <w:r>
        <w:rPr>
          <w:rStyle w:val="50"/>
          <w:rFonts w:hint="eastAsia"/>
          <w:szCs w:val="28"/>
        </w:rPr>
        <w:tab/>
      </w:r>
      <w:r>
        <w:rPr>
          <w:rStyle w:val="50"/>
        </w:rPr>
        <w:fldChar w:fldCharType="begin"/>
      </w:r>
      <w:r>
        <w:rPr>
          <w:rStyle w:val="50"/>
          <w:rFonts w:hint="eastAsia"/>
          <w:szCs w:val="28"/>
        </w:rPr>
        <w:instrText xml:space="preserve"> PAGEREF _Toc132190641 \h </w:instrText>
      </w:r>
      <w:r>
        <w:rPr>
          <w:rStyle w:val="50"/>
        </w:rPr>
        <w:fldChar w:fldCharType="separate"/>
      </w:r>
      <w:r>
        <w:rPr>
          <w:rStyle w:val="50"/>
          <w:rFonts w:hint="eastAsia"/>
          <w:szCs w:val="28"/>
        </w:rPr>
        <w:t>94</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"_Toc132190642" </w:instrText>
      </w:r>
      <w:r>
        <w:fldChar w:fldCharType="separate"/>
      </w:r>
      <w:r>
        <w:rPr>
          <w:rStyle w:val="50"/>
          <w:rFonts w:hint="eastAsia" w:cs="黑体"/>
          <w:bCs/>
          <w:szCs w:val="28"/>
        </w:rPr>
        <w:t>※七、质量保证金</w:t>
      </w:r>
      <w:r>
        <w:rPr>
          <w:rStyle w:val="50"/>
          <w:rFonts w:hint="eastAsia"/>
          <w:szCs w:val="28"/>
        </w:rPr>
        <w:tab/>
      </w:r>
      <w:r>
        <w:rPr>
          <w:rStyle w:val="50"/>
        </w:rPr>
        <w:fldChar w:fldCharType="begin"/>
      </w:r>
      <w:r>
        <w:rPr>
          <w:rStyle w:val="50"/>
          <w:rFonts w:hint="eastAsia"/>
          <w:szCs w:val="28"/>
        </w:rPr>
        <w:instrText xml:space="preserve"> PAGEREF _Toc132190642 \h </w:instrText>
      </w:r>
      <w:r>
        <w:rPr>
          <w:rStyle w:val="50"/>
        </w:rPr>
        <w:fldChar w:fldCharType="separate"/>
      </w:r>
      <w:r>
        <w:rPr>
          <w:rStyle w:val="50"/>
          <w:rFonts w:hint="eastAsia"/>
          <w:szCs w:val="28"/>
        </w:rPr>
        <w:t>95</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"_Toc132190643" </w:instrText>
      </w:r>
      <w:r>
        <w:fldChar w:fldCharType="separate"/>
      </w:r>
      <w:r>
        <w:rPr>
          <w:rStyle w:val="50"/>
          <w:rFonts w:hint="eastAsia" w:cs="黑体"/>
          <w:szCs w:val="28"/>
          <w:lang w:val="zh-CN"/>
        </w:rPr>
        <w:t>※</w:t>
      </w:r>
      <w:r>
        <w:rPr>
          <w:rStyle w:val="50"/>
          <w:rFonts w:hint="eastAsia" w:cs="黑体"/>
          <w:szCs w:val="28"/>
        </w:rPr>
        <w:t>八、质量保证期</w:t>
      </w:r>
      <w:r>
        <w:rPr>
          <w:rStyle w:val="50"/>
          <w:rFonts w:hint="eastAsia"/>
          <w:szCs w:val="28"/>
        </w:rPr>
        <w:tab/>
      </w:r>
      <w:r>
        <w:rPr>
          <w:rStyle w:val="50"/>
        </w:rPr>
        <w:fldChar w:fldCharType="begin"/>
      </w:r>
      <w:r>
        <w:rPr>
          <w:rStyle w:val="50"/>
          <w:rFonts w:hint="eastAsia"/>
          <w:szCs w:val="28"/>
        </w:rPr>
        <w:instrText xml:space="preserve"> PAGEREF _Toc132190643 \h </w:instrText>
      </w:r>
      <w:r>
        <w:rPr>
          <w:rStyle w:val="50"/>
        </w:rPr>
        <w:fldChar w:fldCharType="separate"/>
      </w:r>
      <w:r>
        <w:rPr>
          <w:rStyle w:val="50"/>
          <w:rFonts w:hint="eastAsia"/>
          <w:szCs w:val="28"/>
        </w:rPr>
        <w:t>95</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"_Toc132190644" </w:instrText>
      </w:r>
      <w:r>
        <w:fldChar w:fldCharType="separate"/>
      </w:r>
      <w:r>
        <w:rPr>
          <w:rStyle w:val="50"/>
          <w:rFonts w:hint="eastAsia" w:cs="黑体"/>
          <w:szCs w:val="28"/>
          <w:lang w:val="zh-CN"/>
        </w:rPr>
        <w:t>九、资金结算</w:t>
      </w:r>
      <w:r>
        <w:rPr>
          <w:rStyle w:val="50"/>
          <w:rFonts w:hint="eastAsia"/>
          <w:szCs w:val="28"/>
        </w:rPr>
        <w:tab/>
      </w:r>
      <w:r>
        <w:rPr>
          <w:rStyle w:val="50"/>
        </w:rPr>
        <w:fldChar w:fldCharType="begin"/>
      </w:r>
      <w:r>
        <w:rPr>
          <w:rStyle w:val="50"/>
          <w:rFonts w:hint="eastAsia"/>
          <w:szCs w:val="28"/>
        </w:rPr>
        <w:instrText xml:space="preserve"> PAGEREF _Toc132190644 \h </w:instrText>
      </w:r>
      <w:r>
        <w:rPr>
          <w:rStyle w:val="50"/>
        </w:rPr>
        <w:fldChar w:fldCharType="separate"/>
      </w:r>
      <w:r>
        <w:rPr>
          <w:rStyle w:val="50"/>
          <w:rFonts w:hint="eastAsia"/>
          <w:szCs w:val="28"/>
        </w:rPr>
        <w:t>95</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"_Toc132190645" </w:instrText>
      </w:r>
      <w:r>
        <w:fldChar w:fldCharType="separate"/>
      </w:r>
      <w:r>
        <w:rPr>
          <w:rStyle w:val="50"/>
          <w:rFonts w:hint="eastAsia" w:cs="黑体"/>
          <w:szCs w:val="28"/>
          <w:lang w:val="zh-CN"/>
        </w:rPr>
        <w:t>十、合同生效</w:t>
      </w:r>
      <w:r>
        <w:rPr>
          <w:rStyle w:val="50"/>
          <w:rFonts w:hint="eastAsia"/>
          <w:szCs w:val="28"/>
        </w:rPr>
        <w:tab/>
      </w:r>
      <w:r>
        <w:rPr>
          <w:rStyle w:val="50"/>
        </w:rPr>
        <w:fldChar w:fldCharType="begin"/>
      </w:r>
      <w:r>
        <w:rPr>
          <w:rStyle w:val="50"/>
          <w:rFonts w:hint="eastAsia"/>
          <w:szCs w:val="28"/>
        </w:rPr>
        <w:instrText xml:space="preserve"> PAGEREF _Toc132190645 \h </w:instrText>
      </w:r>
      <w:r>
        <w:rPr>
          <w:rStyle w:val="50"/>
        </w:rPr>
        <w:fldChar w:fldCharType="separate"/>
      </w:r>
      <w:r>
        <w:rPr>
          <w:rStyle w:val="50"/>
          <w:rFonts w:hint="eastAsia"/>
          <w:szCs w:val="28"/>
        </w:rPr>
        <w:t>96</w:t>
      </w:r>
      <w:r>
        <w:rPr>
          <w:rStyle w:val="50"/>
        </w:rPr>
        <w:fldChar w:fldCharType="end"/>
      </w:r>
      <w:r>
        <w:rPr>
          <w:rStyle w:val="50"/>
        </w:rPr>
        <w:fldChar w:fldCharType="end"/>
      </w:r>
    </w:p>
    <w:p>
      <w:pPr>
        <w:pStyle w:val="23"/>
        <w:tabs>
          <w:tab w:val="right" w:leader="dot" w:pos="9344"/>
        </w:tabs>
        <w:ind w:left="0" w:leftChars="0" w:firstLine="480" w:firstLineChars="200"/>
        <w:rPr>
          <w:rFonts w:hint="eastAsia" w:cstheme="minorBidi"/>
          <w:b/>
          <w:szCs w:val="28"/>
        </w:rPr>
      </w:pPr>
      <w:r>
        <w:fldChar w:fldCharType="begin"/>
      </w:r>
      <w:r>
        <w:instrText xml:space="preserve"> HYPERLINK "file:///G:\\部队\\军区总医院\\2022年\\一批医疗设备采购项目\\本部50万元\\三次公告\\4包四次\\招标文件-某医院一批医疗设备采购项目-ZZ-1（第4包四次公告）新（送审稿）.docx" \l "_Toc132190646" </w:instrText>
      </w:r>
      <w:r>
        <w:fldChar w:fldCharType="separate"/>
      </w:r>
      <w:r>
        <w:rPr>
          <w:rStyle w:val="50"/>
          <w:rFonts w:hint="eastAsia" w:cs="黑体"/>
          <w:szCs w:val="28"/>
          <w:lang w:val="zh-CN"/>
        </w:rPr>
        <w:t>十一、其他事项</w:t>
      </w:r>
      <w:r>
        <w:rPr>
          <w:rStyle w:val="50"/>
          <w:rFonts w:hint="eastAsia"/>
          <w:szCs w:val="28"/>
        </w:rPr>
        <w:tab/>
      </w:r>
      <w:r>
        <w:rPr>
          <w:rStyle w:val="50"/>
        </w:rPr>
        <w:fldChar w:fldCharType="begin"/>
      </w:r>
      <w:r>
        <w:rPr>
          <w:rStyle w:val="50"/>
          <w:rFonts w:hint="eastAsia"/>
          <w:szCs w:val="28"/>
        </w:rPr>
        <w:instrText xml:space="preserve"> PAGEREF _Toc132190646 \h </w:instrText>
      </w:r>
      <w:r>
        <w:rPr>
          <w:rStyle w:val="50"/>
        </w:rPr>
        <w:fldChar w:fldCharType="separate"/>
      </w:r>
      <w:r>
        <w:rPr>
          <w:rStyle w:val="50"/>
          <w:rFonts w:hint="eastAsia"/>
          <w:szCs w:val="28"/>
        </w:rPr>
        <w:t>96</w:t>
      </w:r>
      <w:r>
        <w:rPr>
          <w:rStyle w:val="50"/>
        </w:rPr>
        <w:fldChar w:fldCharType="end"/>
      </w:r>
      <w:r>
        <w:rPr>
          <w:rStyle w:val="50"/>
        </w:rPr>
        <w:fldChar w:fldCharType="end"/>
      </w:r>
    </w:p>
    <w:p>
      <w:pPr>
        <w:pStyle w:val="23"/>
        <w:tabs>
          <w:tab w:val="right" w:leader="dot" w:pos="9344"/>
        </w:tabs>
        <w:ind w:left="-14" w:leftChars="-6"/>
        <w:rPr>
          <w:rFonts w:hint="eastAsia" w:asciiTheme="minorEastAsia" w:hAnsiTheme="minorEastAsia" w:eastAsiaTheme="minorEastAsia" w:cstheme="minorBidi"/>
          <w:b/>
          <w:sz w:val="21"/>
          <w:szCs w:val="22"/>
        </w:rPr>
      </w:pPr>
    </w:p>
    <w:p>
      <w:pPr>
        <w:pStyle w:val="23"/>
        <w:tabs>
          <w:tab w:val="right" w:leader="dot" w:pos="9344"/>
        </w:tabs>
        <w:ind w:left="105" w:leftChars="0"/>
        <w:rPr>
          <w:rStyle w:val="50"/>
          <w:rFonts w:hint="eastAsia"/>
          <w:b/>
          <w:sz w:val="28"/>
        </w:rPr>
      </w:pPr>
    </w:p>
    <w:p>
      <w:pPr>
        <w:pStyle w:val="23"/>
        <w:tabs>
          <w:tab w:val="right" w:leader="dot" w:pos="9344"/>
        </w:tabs>
        <w:ind w:left="105" w:leftChars="0"/>
        <w:rPr>
          <w:rFonts w:hint="eastAsia" w:asciiTheme="minorHAnsi" w:hAnsiTheme="minorHAnsi" w:cstheme="minorBidi"/>
          <w:sz w:val="21"/>
          <w:szCs w:val="22"/>
        </w:rPr>
      </w:pPr>
    </w:p>
    <w:p>
      <w:pPr>
        <w:widowControl/>
        <w:spacing w:beforeAutospacing="1" w:afterAutospacing="1"/>
        <w:jc w:val="left"/>
        <w:sectPr>
          <w:pgSz w:w="11906" w:h="16838"/>
          <w:pgMar w:top="1418" w:right="1134" w:bottom="1418" w:left="1418" w:header="851" w:footer="851" w:gutter="0"/>
          <w:cols w:space="720" w:num="1"/>
        </w:sectPr>
      </w:pPr>
    </w:p>
    <w:p>
      <w:pPr>
        <w:pStyle w:val="6"/>
        <w:keepNext w:val="0"/>
        <w:keepLines w:val="0"/>
        <w:adjustRightInd w:val="0"/>
        <w:snapToGrid w:val="0"/>
        <w:spacing w:line="560" w:lineRule="exact"/>
        <w:jc w:val="center"/>
        <w:rPr>
          <w:b w:val="0"/>
          <w:sz w:val="44"/>
          <w:szCs w:val="44"/>
          <w:lang w:val="zh-CN"/>
        </w:rPr>
      </w:pPr>
      <w:bookmarkStart w:id="418" w:name="_Toc128150769"/>
      <w:bookmarkStart w:id="419" w:name="_Toc128397961"/>
      <w:bookmarkStart w:id="420" w:name="_Toc23642"/>
      <w:bookmarkStart w:id="421" w:name="_Toc130887491"/>
      <w:bookmarkStart w:id="422" w:name="_Toc128151018"/>
      <w:bookmarkStart w:id="423" w:name="_Toc130886990"/>
      <w:bookmarkStart w:id="424" w:name="_Toc132190625"/>
      <w:bookmarkStart w:id="425" w:name="_Toc130657983"/>
      <w:bookmarkStart w:id="426" w:name="_Toc130657529"/>
      <w:bookmarkStart w:id="427" w:name="_Toc128150125"/>
      <w:bookmarkStart w:id="428" w:name="_Toc127820555"/>
      <w:bookmarkStart w:id="429" w:name="_Toc15244"/>
      <w:bookmarkStart w:id="430" w:name="_Toc16768"/>
      <w:bookmarkStart w:id="431" w:name="_Toc8683"/>
      <w:bookmarkStart w:id="432" w:name="_Toc112317780"/>
      <w:bookmarkStart w:id="433" w:name="第二部分"/>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418"/>
      <w:bookmarkEnd w:id="419"/>
      <w:bookmarkEnd w:id="420"/>
      <w:bookmarkEnd w:id="421"/>
      <w:bookmarkEnd w:id="422"/>
      <w:bookmarkEnd w:id="423"/>
      <w:bookmarkEnd w:id="424"/>
      <w:bookmarkEnd w:id="425"/>
      <w:bookmarkEnd w:id="426"/>
      <w:bookmarkEnd w:id="427"/>
      <w:bookmarkEnd w:id="428"/>
    </w:p>
    <w:p>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56"/>
        <w:gridCol w:w="1420"/>
        <w:gridCol w:w="1484"/>
        <w:gridCol w:w="4644"/>
        <w:gridCol w:w="15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ascii="宋体" w:hAnsi="宋体" w:cs="宋体"/>
                <w:bCs/>
              </w:rPr>
            </w:pPr>
            <w:r>
              <w:rPr>
                <w:rFonts w:hint="eastAsia" w:ascii="宋体" w:hAnsi="宋体" w:cs="宋体"/>
                <w:bCs/>
              </w:rPr>
              <w:t>序号</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招投标相关事项</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项目具体要求</w:t>
            </w:r>
          </w:p>
          <w:p>
            <w:pPr>
              <w:adjustRightInd w:val="0"/>
              <w:snapToGrid w:val="0"/>
              <w:spacing w:line="360" w:lineRule="exact"/>
              <w:jc w:val="center"/>
              <w:rPr>
                <w:rFonts w:hint="eastAsia" w:ascii="宋体" w:hAnsi="宋体" w:cs="宋体"/>
                <w:bCs/>
              </w:rPr>
            </w:pPr>
            <w:r>
              <w:rPr>
                <w:rFonts w:hint="eastAsia" w:ascii="宋体" w:hAnsi="宋体" w:cs="宋体"/>
                <w:bCs/>
              </w:rPr>
              <w:t>（见专用文件）</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通用要求</w:t>
            </w:r>
          </w:p>
          <w:p>
            <w:pPr>
              <w:adjustRightInd w:val="0"/>
              <w:snapToGrid w:val="0"/>
              <w:spacing w:line="360" w:lineRule="exact"/>
              <w:jc w:val="center"/>
              <w:rPr>
                <w:rFonts w:hint="eastAsia" w:ascii="宋体" w:hAnsi="宋体" w:cs="宋体"/>
                <w:bCs/>
              </w:rPr>
            </w:pPr>
            <w:r>
              <w:rPr>
                <w:rFonts w:hint="eastAsia" w:ascii="宋体" w:hAnsi="宋体" w:cs="宋体"/>
                <w:bCs/>
              </w:rPr>
              <w:t>（见通用文件）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rPr>
              <w:t>项目概况</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lang w:val="en-US" w:eastAsia="zh-CN"/>
              </w:rPr>
            </w:pPr>
            <w:r>
              <w:rPr>
                <w:rFonts w:hint="eastAsia"/>
                <w:lang w:eastAsia="zh-CN"/>
              </w:rPr>
              <w:t>项目名称：</w:t>
            </w:r>
            <w:r>
              <w:rPr>
                <w:rFonts w:hint="eastAsia"/>
                <w:lang w:val="en-US" w:eastAsia="zh-CN"/>
              </w:rPr>
              <w:t>2024年某医院下半年医疗设备采购项目（10包）（二次）</w:t>
            </w:r>
          </w:p>
          <w:p>
            <w:pPr>
              <w:adjustRightInd w:val="0"/>
              <w:snapToGrid w:val="0"/>
              <w:spacing w:line="360" w:lineRule="exact"/>
              <w:jc w:val="left"/>
              <w:rPr>
                <w:rFonts w:hint="eastAsia"/>
                <w:lang w:eastAsia="zh-CN"/>
              </w:rPr>
            </w:pPr>
            <w:r>
              <w:rPr>
                <w:rFonts w:hint="eastAsia"/>
              </w:rPr>
              <w:t>采购机构：</w:t>
            </w:r>
            <w:r>
              <w:rPr>
                <w:rFonts w:hint="eastAsia"/>
                <w:lang w:eastAsia="zh-CN"/>
              </w:rPr>
              <w:t>新疆新建联项目管理咨询有限公司</w:t>
            </w:r>
          </w:p>
          <w:p>
            <w:pPr>
              <w:adjustRightInd w:val="0"/>
              <w:snapToGrid w:val="0"/>
              <w:spacing w:line="360" w:lineRule="exact"/>
              <w:jc w:val="left"/>
              <w:rPr>
                <w:rFonts w:hint="default"/>
                <w:lang w:val="en-US" w:eastAsia="zh-CN"/>
              </w:rPr>
            </w:pPr>
            <w:r>
              <w:rPr>
                <w:rFonts w:hint="eastAsia"/>
              </w:rPr>
              <w:t>联系人：</w:t>
            </w:r>
            <w:r>
              <w:rPr>
                <w:rFonts w:hint="eastAsia"/>
                <w:lang w:val="en-US" w:eastAsia="zh-CN"/>
              </w:rPr>
              <w:t>马嘉唯、孙锦凤、邓学文</w:t>
            </w:r>
          </w:p>
          <w:p>
            <w:pPr>
              <w:adjustRightInd w:val="0"/>
              <w:snapToGrid w:val="0"/>
              <w:spacing w:line="360" w:lineRule="exact"/>
              <w:jc w:val="left"/>
              <w:rPr>
                <w:rFonts w:hint="default"/>
                <w:lang w:val="en-US" w:eastAsia="zh-CN"/>
              </w:rPr>
            </w:pPr>
            <w:r>
              <w:rPr>
                <w:rFonts w:hint="eastAsia"/>
                <w:lang w:val="en-US" w:eastAsia="zh-CN"/>
              </w:rPr>
              <w:t>联系方式：13009658670</w:t>
            </w:r>
          </w:p>
          <w:p>
            <w:pPr>
              <w:adjustRightInd w:val="0"/>
              <w:snapToGrid w:val="0"/>
              <w:spacing w:line="360" w:lineRule="exact"/>
              <w:jc w:val="left"/>
              <w:rPr>
                <w:rFonts w:hint="eastAsia"/>
              </w:rPr>
            </w:pPr>
            <w:r>
              <w:rPr>
                <w:rFonts w:hint="eastAsia"/>
              </w:rPr>
              <w:t>项目预算（或最高限价）：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51" w:type="dxa"/>
                </w:tcPr>
                <w:p>
                  <w:pPr>
                    <w:pStyle w:val="2"/>
                    <w:rPr>
                      <w:rFonts w:hint="default"/>
                      <w:sz w:val="28"/>
                      <w:szCs w:val="28"/>
                      <w:vertAlign w:val="baseline"/>
                      <w:lang w:val="en-US" w:eastAsia="zh-CN"/>
                    </w:rPr>
                  </w:pPr>
                  <w:r>
                    <w:rPr>
                      <w:rFonts w:hint="eastAsia"/>
                      <w:sz w:val="28"/>
                      <w:szCs w:val="28"/>
                      <w:vertAlign w:val="baseline"/>
                      <w:lang w:val="en-US" w:eastAsia="zh-CN"/>
                    </w:rPr>
                    <w:t>包号</w:t>
                  </w:r>
                </w:p>
              </w:tc>
              <w:tc>
                <w:tcPr>
                  <w:tcW w:w="2951" w:type="dxa"/>
                </w:tcPr>
                <w:p>
                  <w:pPr>
                    <w:pStyle w:val="2"/>
                    <w:rPr>
                      <w:rFonts w:hint="eastAsia" w:eastAsia="宋体"/>
                      <w:sz w:val="28"/>
                      <w:szCs w:val="28"/>
                      <w:vertAlign w:val="baseline"/>
                      <w:lang w:val="en-US" w:eastAsia="zh-CN"/>
                    </w:rPr>
                  </w:pPr>
                  <w:r>
                    <w:rPr>
                      <w:rFonts w:hint="eastAsia"/>
                      <w:sz w:val="28"/>
                      <w:szCs w:val="28"/>
                      <w:vertAlign w:val="baseline"/>
                      <w:lang w:val="en-US"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1" w:type="dxa"/>
                </w:tcPr>
                <w:p>
                  <w:pPr>
                    <w:pStyle w:val="2"/>
                    <w:rPr>
                      <w:rFonts w:hint="eastAsia" w:eastAsia="宋体"/>
                      <w:sz w:val="28"/>
                      <w:szCs w:val="28"/>
                      <w:vertAlign w:val="baseline"/>
                      <w:lang w:val="en-US" w:eastAsia="zh-CN"/>
                    </w:rPr>
                  </w:pPr>
                  <w:r>
                    <w:rPr>
                      <w:rFonts w:hint="eastAsia"/>
                      <w:sz w:val="28"/>
                      <w:szCs w:val="28"/>
                      <w:vertAlign w:val="baseline"/>
                      <w:lang w:val="en-US" w:eastAsia="zh-CN"/>
                    </w:rPr>
                    <w:t>10包</w:t>
                  </w:r>
                </w:p>
              </w:tc>
              <w:tc>
                <w:tcPr>
                  <w:tcW w:w="2951" w:type="dxa"/>
                </w:tcPr>
                <w:p>
                  <w:pPr>
                    <w:pStyle w:val="2"/>
                    <w:ind w:left="0" w:leftChars="0" w:firstLine="0" w:firstLineChars="0"/>
                    <w:jc w:val="center"/>
                    <w:rPr>
                      <w:rFonts w:hint="default" w:eastAsia="宋体"/>
                      <w:sz w:val="28"/>
                      <w:szCs w:val="28"/>
                      <w:vertAlign w:val="baseline"/>
                      <w:lang w:val="en-US" w:eastAsia="zh-CN"/>
                    </w:rPr>
                  </w:pPr>
                  <w:r>
                    <w:rPr>
                      <w:rFonts w:hint="eastAsia"/>
                      <w:sz w:val="28"/>
                      <w:szCs w:val="28"/>
                      <w:vertAlign w:val="baseline"/>
                      <w:lang w:val="en-US" w:eastAsia="zh-CN"/>
                    </w:rPr>
                    <w:t>85</w:t>
                  </w:r>
                </w:p>
              </w:tc>
            </w:tr>
          </w:tbl>
          <w:p>
            <w:pPr>
              <w:pStyle w:val="2"/>
              <w:ind w:left="0" w:leftChars="0" w:firstLine="0" w:firstLineChars="0"/>
              <w:rPr>
                <w:rFonts w:hint="eastAsia"/>
              </w:rPr>
            </w:pP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2</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投标供应商资格条件</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第五章“招标公告”第四条</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第3.2条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highlight w:val="none"/>
              </w:rPr>
            </w:pPr>
            <w:r>
              <w:rPr>
                <w:rFonts w:hint="eastAsia" w:ascii="宋体" w:hAnsi="宋体" w:cs="宋体"/>
                <w:bCs/>
                <w:highlight w:val="none"/>
              </w:rPr>
              <w:t>3</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highlight w:val="none"/>
              </w:rPr>
            </w:pPr>
            <w:r>
              <w:rPr>
                <w:rFonts w:hint="eastAsia" w:ascii="宋体" w:hAnsi="宋体" w:cs="宋体"/>
                <w:bCs/>
                <w:highlight w:val="none"/>
              </w:rPr>
              <w:t>招标文件申领时间</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highlight w:val="none"/>
              </w:rPr>
            </w:pPr>
            <w:r>
              <w:rPr>
                <w:rFonts w:hint="eastAsia" w:ascii="宋体" w:hAnsi="宋体" w:cs="宋体"/>
                <w:bCs/>
                <w:highlight w:val="none"/>
                <w:lang w:val="en-US" w:eastAsia="zh-CN"/>
              </w:rPr>
              <w:t>2025</w:t>
            </w:r>
            <w:r>
              <w:rPr>
                <w:rFonts w:hint="eastAsia" w:ascii="宋体" w:hAnsi="宋体" w:cs="宋体"/>
                <w:bCs/>
                <w:highlight w:val="none"/>
              </w:rPr>
              <w:t>年</w:t>
            </w:r>
            <w:r>
              <w:rPr>
                <w:rFonts w:hint="eastAsia" w:ascii="宋体" w:hAnsi="宋体" w:cs="宋体"/>
                <w:bCs/>
                <w:highlight w:val="none"/>
                <w:lang w:val="en-US" w:eastAsia="zh-CN"/>
              </w:rPr>
              <w:t>2</w:t>
            </w:r>
            <w:r>
              <w:rPr>
                <w:rFonts w:hint="eastAsia" w:ascii="宋体" w:hAnsi="宋体" w:cs="宋体"/>
                <w:bCs/>
                <w:highlight w:val="none"/>
              </w:rPr>
              <w:t>月</w:t>
            </w:r>
            <w:r>
              <w:rPr>
                <w:rFonts w:hint="eastAsia" w:ascii="宋体" w:hAnsi="宋体" w:cs="宋体"/>
                <w:bCs/>
                <w:highlight w:val="none"/>
                <w:lang w:val="en-US" w:eastAsia="zh-CN"/>
              </w:rPr>
              <w:t>10</w:t>
            </w:r>
            <w:r>
              <w:rPr>
                <w:rFonts w:hint="eastAsia" w:ascii="宋体" w:hAnsi="宋体" w:cs="宋体"/>
                <w:bCs/>
                <w:highlight w:val="none"/>
              </w:rPr>
              <w:t>日至</w:t>
            </w:r>
            <w:r>
              <w:rPr>
                <w:rFonts w:hint="eastAsia" w:ascii="宋体" w:hAnsi="宋体" w:cs="宋体"/>
                <w:bCs/>
                <w:highlight w:val="none"/>
                <w:lang w:val="en-US" w:eastAsia="zh-CN"/>
              </w:rPr>
              <w:t>2</w:t>
            </w:r>
            <w:r>
              <w:rPr>
                <w:rFonts w:hint="eastAsia" w:ascii="宋体" w:hAnsi="宋体" w:cs="宋体"/>
                <w:bCs/>
                <w:highlight w:val="none"/>
              </w:rPr>
              <w:t>月</w:t>
            </w:r>
            <w:r>
              <w:rPr>
                <w:rFonts w:hint="eastAsia" w:ascii="宋体" w:hAnsi="宋体" w:cs="宋体"/>
                <w:bCs/>
                <w:highlight w:val="none"/>
                <w:lang w:val="en-US" w:eastAsia="zh-CN"/>
              </w:rPr>
              <w:t>14</w:t>
            </w:r>
            <w:r>
              <w:rPr>
                <w:rFonts w:hint="eastAsia" w:ascii="宋体" w:hAnsi="宋体" w:cs="宋体"/>
                <w:bCs/>
                <w:highlight w:val="none"/>
              </w:rPr>
              <w:t>日，</w:t>
            </w:r>
          </w:p>
          <w:p>
            <w:pPr>
              <w:adjustRightInd w:val="0"/>
              <w:snapToGrid w:val="0"/>
              <w:spacing w:line="360" w:lineRule="exact"/>
              <w:jc w:val="left"/>
              <w:rPr>
                <w:rFonts w:hint="eastAsia" w:ascii="宋体" w:hAnsi="宋体"/>
                <w:bCs/>
                <w:i/>
                <w:highlight w:val="none"/>
              </w:rPr>
            </w:pPr>
            <w:r>
              <w:rPr>
                <w:rFonts w:hint="eastAsia" w:ascii="宋体" w:hAnsi="宋体" w:cs="宋体"/>
                <w:bCs/>
                <w:highlight w:val="none"/>
              </w:rPr>
              <w:t>每日上午</w:t>
            </w:r>
            <w:r>
              <w:rPr>
                <w:rFonts w:hint="eastAsia" w:ascii="宋体" w:hAnsi="宋体" w:cs="宋体"/>
                <w:bCs/>
                <w:highlight w:val="none"/>
                <w:lang w:val="en-US" w:eastAsia="zh-CN"/>
              </w:rPr>
              <w:t>10</w:t>
            </w:r>
            <w:r>
              <w:rPr>
                <w:rFonts w:hint="eastAsia" w:ascii="宋体" w:hAnsi="宋体" w:cs="宋体"/>
                <w:bCs/>
                <w:highlight w:val="none"/>
              </w:rPr>
              <w:t>:</w:t>
            </w:r>
            <w:r>
              <w:rPr>
                <w:rFonts w:hint="eastAsia" w:ascii="宋体" w:hAnsi="宋体" w:cs="宋体"/>
                <w:bCs/>
                <w:highlight w:val="none"/>
                <w:lang w:val="en-US" w:eastAsia="zh-CN"/>
              </w:rPr>
              <w:t>00</w:t>
            </w:r>
            <w:r>
              <w:rPr>
                <w:rFonts w:hint="eastAsia" w:ascii="宋体" w:hAnsi="宋体" w:cs="宋体"/>
                <w:bCs/>
                <w:highlight w:val="none"/>
              </w:rPr>
              <w:t>至</w:t>
            </w:r>
            <w:r>
              <w:rPr>
                <w:rFonts w:hint="eastAsia" w:ascii="宋体" w:hAnsi="宋体" w:cs="宋体"/>
                <w:bCs/>
                <w:highlight w:val="none"/>
                <w:lang w:val="en-US" w:eastAsia="zh-CN"/>
              </w:rPr>
              <w:t>13</w:t>
            </w:r>
            <w:r>
              <w:rPr>
                <w:rFonts w:hint="eastAsia" w:ascii="宋体" w:hAnsi="宋体" w:cs="宋体"/>
                <w:bCs/>
                <w:highlight w:val="none"/>
              </w:rPr>
              <w:t>:</w:t>
            </w:r>
            <w:r>
              <w:rPr>
                <w:rFonts w:hint="eastAsia" w:ascii="宋体" w:hAnsi="宋体" w:cs="宋体"/>
                <w:bCs/>
                <w:highlight w:val="none"/>
                <w:lang w:val="en-US" w:eastAsia="zh-CN"/>
              </w:rPr>
              <w:t>30</w:t>
            </w:r>
            <w:r>
              <w:rPr>
                <w:rFonts w:hint="eastAsia" w:ascii="宋体" w:hAnsi="宋体" w:cs="宋体"/>
                <w:bCs/>
                <w:highlight w:val="none"/>
              </w:rPr>
              <w:t>，下午</w:t>
            </w:r>
            <w:r>
              <w:rPr>
                <w:rFonts w:hint="eastAsia" w:ascii="宋体" w:hAnsi="宋体" w:cs="宋体"/>
                <w:bCs/>
                <w:highlight w:val="none"/>
                <w:lang w:val="en-US" w:eastAsia="zh-CN"/>
              </w:rPr>
              <w:t>16</w:t>
            </w:r>
            <w:r>
              <w:rPr>
                <w:rFonts w:hint="eastAsia" w:ascii="宋体" w:hAnsi="宋体" w:cs="宋体"/>
                <w:bCs/>
                <w:highlight w:val="none"/>
              </w:rPr>
              <w:t>:</w:t>
            </w:r>
            <w:r>
              <w:rPr>
                <w:rFonts w:hint="eastAsia" w:ascii="宋体" w:hAnsi="宋体" w:cs="宋体"/>
                <w:bCs/>
                <w:highlight w:val="none"/>
                <w:lang w:val="en-US" w:eastAsia="zh-CN"/>
              </w:rPr>
              <w:t>00</w:t>
            </w:r>
            <w:r>
              <w:rPr>
                <w:rFonts w:hint="eastAsia" w:ascii="宋体" w:hAnsi="宋体" w:cs="宋体"/>
                <w:bCs/>
                <w:highlight w:val="none"/>
              </w:rPr>
              <w:t>至</w:t>
            </w:r>
            <w:r>
              <w:rPr>
                <w:rFonts w:hint="eastAsia" w:ascii="宋体" w:hAnsi="宋体" w:cs="宋体"/>
                <w:bCs/>
                <w:highlight w:val="none"/>
                <w:lang w:val="en-US" w:eastAsia="zh-CN"/>
              </w:rPr>
              <w:t>19</w:t>
            </w:r>
            <w:r>
              <w:rPr>
                <w:rFonts w:hint="eastAsia" w:ascii="宋体" w:hAnsi="宋体" w:cs="宋体"/>
                <w:bCs/>
                <w:highlight w:val="none"/>
              </w:rPr>
              <w:t>:</w:t>
            </w:r>
            <w:r>
              <w:rPr>
                <w:rFonts w:hint="eastAsia" w:ascii="宋体" w:hAnsi="宋体" w:cs="宋体"/>
                <w:bCs/>
                <w:highlight w:val="none"/>
                <w:lang w:val="en-US" w:eastAsia="zh-CN"/>
              </w:rPr>
              <w:t>00</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第7.1条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4</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组织现场踏勘或召开</w:t>
            </w:r>
            <w:r>
              <w:rPr>
                <w:rFonts w:hint="eastAsia" w:ascii="宋体" w:hAnsi="宋体"/>
                <w:bCs/>
              </w:rPr>
              <w:t>标前</w:t>
            </w:r>
            <w:r>
              <w:rPr>
                <w:rFonts w:hint="eastAsia" w:ascii="宋体" w:hAnsi="宋体" w:cs="宋体"/>
                <w:bCs/>
              </w:rPr>
              <w:t>答疑会</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现场踏勘：□是 ■否</w:t>
            </w:r>
          </w:p>
          <w:p>
            <w:pPr>
              <w:adjustRightInd w:val="0"/>
              <w:snapToGrid w:val="0"/>
              <w:spacing w:line="360" w:lineRule="exact"/>
              <w:jc w:val="left"/>
              <w:rPr>
                <w:rFonts w:hint="eastAsia" w:ascii="宋体" w:hAnsi="宋体" w:cs="宋体"/>
                <w:bCs/>
              </w:rPr>
            </w:pPr>
            <w:r>
              <w:rPr>
                <w:rFonts w:hint="eastAsia" w:ascii="宋体" w:hAnsi="宋体" w:cs="宋体"/>
                <w:bCs/>
              </w:rPr>
              <w:t>标前答疑会：□是 ■否</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第7.2条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5</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信息发布媒体</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eastAsia="宋体" w:cs="宋体"/>
                <w:lang w:val="en-US" w:eastAsia="zh-CN"/>
              </w:rPr>
            </w:pPr>
            <w:r>
              <w:rPr>
                <w:rFonts w:hint="eastAsia" w:ascii="宋体"/>
              </w:rPr>
              <w:t>军队采购网（www.plap.cn）</w:t>
            </w:r>
            <w:r>
              <w:rPr>
                <w:rFonts w:hint="eastAsia" w:ascii="宋体"/>
                <w:lang w:val="en-US" w:eastAsia="zh-CN"/>
              </w:rPr>
              <w:t>和随行易交易(新疆)电子招标投标交易平台（http://xj.enjoy5191.com/#/home）</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第8.1条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6</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中标供应商数量</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本项目</w:t>
            </w:r>
            <w:r>
              <w:rPr>
                <w:rFonts w:hint="eastAsia" w:ascii="宋体" w:hAnsi="宋体" w:cs="宋体"/>
                <w:bCs/>
                <w:lang w:val="en-US" w:eastAsia="zh-CN"/>
              </w:rPr>
              <w:t>各包</w:t>
            </w:r>
            <w:r>
              <w:rPr>
                <w:rFonts w:hint="eastAsia" w:ascii="宋体" w:hAnsi="宋体" w:cs="宋体"/>
                <w:bCs/>
              </w:rPr>
              <w:t>确定</w:t>
            </w:r>
            <w:r>
              <w:rPr>
                <w:rFonts w:hint="eastAsia" w:ascii="宋体" w:hAnsi="宋体"/>
                <w:bCs/>
                <w:u w:val="single"/>
              </w:rPr>
              <w:t xml:space="preserve"> 1 </w:t>
            </w:r>
            <w:r>
              <w:rPr>
                <w:rFonts w:hint="eastAsia" w:ascii="宋体" w:hAnsi="宋体" w:cs="宋体"/>
                <w:bCs/>
              </w:rPr>
              <w:t>家供应商中标。</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left"/>
              <w:rPr>
                <w:rFonts w:hint="eastAsia" w:ascii="宋体" w:hAnsi="宋体" w:cs="宋体"/>
                <w:bCs/>
              </w:rPr>
            </w:pPr>
            <w:r>
              <w:rPr>
                <w:rFonts w:hint="eastAsia" w:ascii="宋体" w:hAnsi="宋体" w:cs="宋体"/>
                <w:bCs/>
              </w:rPr>
              <w:t>第33.3条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7</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eastAsia="宋体" w:cs="宋体"/>
                <w:bCs/>
                <w:lang w:eastAsia="zh-CN"/>
              </w:rPr>
            </w:pPr>
            <w:r>
              <w:rPr>
                <w:rFonts w:hint="eastAsia" w:ascii="宋体" w:hAnsi="宋体" w:cs="宋体"/>
                <w:bCs/>
                <w:lang w:val="en-US" w:eastAsia="zh-CN"/>
              </w:rPr>
              <w:t>无需提供纸质版投标文件，</w:t>
            </w:r>
            <w:r>
              <w:rPr>
                <w:rFonts w:hint="eastAsia" w:ascii="宋体" w:hAnsi="宋体" w:cs="宋体"/>
                <w:bCs/>
              </w:rPr>
              <w:t>投标文件副本及电子版投标文件份数</w:t>
            </w:r>
            <w:r>
              <w:rPr>
                <w:rFonts w:hint="eastAsia" w:ascii="宋体" w:hAnsi="宋体" w:cs="宋体"/>
                <w:bCs/>
                <w:lang w:eastAsia="zh-CN"/>
              </w:rPr>
              <w:t>（</w:t>
            </w:r>
            <w:r>
              <w:rPr>
                <w:rFonts w:hint="eastAsia" w:ascii="宋体" w:hAnsi="宋体" w:cs="宋体"/>
                <w:bCs/>
                <w:lang w:val="en-US" w:eastAsia="zh-CN"/>
              </w:rPr>
              <w:t>中标单位提供纸质版投标文件</w:t>
            </w:r>
            <w:r>
              <w:rPr>
                <w:rFonts w:hint="eastAsia" w:ascii="宋体" w:hAnsi="宋体" w:cs="宋体"/>
                <w:bCs/>
                <w:lang w:eastAsia="zh-CN"/>
              </w:rPr>
              <w:t>）</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rPr>
                <w:rFonts w:hint="eastAsia" w:ascii="宋体" w:cs="宋体"/>
              </w:rPr>
            </w:pPr>
            <w:r>
              <w:rPr>
                <w:rFonts w:hint="eastAsia" w:ascii="宋体" w:cs="宋体"/>
              </w:rPr>
              <w:t>投标文件包括3部分：价格文件、商务技术文件、资格证明文件单独装订成册。价格文件一式</w:t>
            </w:r>
            <w:r>
              <w:rPr>
                <w:rFonts w:hint="eastAsia" w:ascii="宋体" w:cs="宋体"/>
                <w:u w:val="single"/>
              </w:rPr>
              <w:t>3</w:t>
            </w:r>
            <w:r>
              <w:rPr>
                <w:rFonts w:hint="eastAsia" w:ascii="宋体" w:cs="宋体"/>
              </w:rPr>
              <w:t>份，其中正本</w:t>
            </w:r>
            <w:r>
              <w:rPr>
                <w:rFonts w:hint="eastAsia" w:ascii="宋体" w:cs="宋体"/>
                <w:u w:val="single"/>
              </w:rPr>
              <w:t>1</w:t>
            </w:r>
            <w:r>
              <w:rPr>
                <w:rFonts w:hint="eastAsia" w:ascii="宋体" w:cs="宋体"/>
              </w:rPr>
              <w:t>份，副本</w:t>
            </w:r>
            <w:r>
              <w:rPr>
                <w:rFonts w:hint="eastAsia" w:ascii="宋体" w:cs="宋体"/>
                <w:u w:val="single"/>
              </w:rPr>
              <w:t>2</w:t>
            </w:r>
            <w:r>
              <w:rPr>
                <w:rFonts w:hint="eastAsia" w:ascii="宋体" w:cs="宋体"/>
              </w:rPr>
              <w:t>份；商务技术文件一式</w:t>
            </w:r>
            <w:r>
              <w:rPr>
                <w:rFonts w:hint="eastAsia" w:ascii="宋体" w:cs="宋体"/>
                <w:u w:val="single"/>
              </w:rPr>
              <w:t xml:space="preserve"> 3 </w:t>
            </w:r>
            <w:r>
              <w:rPr>
                <w:rFonts w:hint="eastAsia" w:ascii="宋体" w:cs="宋体"/>
              </w:rPr>
              <w:t>份，其中正本</w:t>
            </w:r>
            <w:r>
              <w:rPr>
                <w:rFonts w:hint="eastAsia" w:ascii="宋体" w:cs="宋体"/>
                <w:u w:val="single"/>
              </w:rPr>
              <w:t>1</w:t>
            </w:r>
            <w:r>
              <w:rPr>
                <w:rFonts w:hint="eastAsia" w:ascii="宋体" w:cs="宋体"/>
              </w:rPr>
              <w:t>份，副本</w:t>
            </w:r>
            <w:r>
              <w:rPr>
                <w:rFonts w:hint="eastAsia" w:ascii="宋体" w:cs="宋体"/>
                <w:u w:val="single"/>
              </w:rPr>
              <w:t>2</w:t>
            </w:r>
            <w:r>
              <w:rPr>
                <w:rFonts w:hint="eastAsia" w:ascii="宋体" w:cs="宋体"/>
              </w:rPr>
              <w:t>份；资格证明文件一式</w:t>
            </w:r>
            <w:r>
              <w:rPr>
                <w:rFonts w:hint="eastAsia" w:ascii="宋体" w:cs="宋体"/>
                <w:u w:val="single"/>
              </w:rPr>
              <w:t xml:space="preserve"> 3 </w:t>
            </w:r>
            <w:r>
              <w:rPr>
                <w:rFonts w:hint="eastAsia" w:ascii="宋体" w:cs="宋体"/>
              </w:rPr>
              <w:t>份，其中正本</w:t>
            </w:r>
            <w:r>
              <w:rPr>
                <w:rFonts w:hint="eastAsia" w:ascii="宋体" w:cs="宋体"/>
                <w:u w:val="single"/>
              </w:rPr>
              <w:t>1</w:t>
            </w:r>
            <w:r>
              <w:rPr>
                <w:rFonts w:hint="eastAsia" w:ascii="宋体" w:cs="宋体"/>
              </w:rPr>
              <w:t>份，副本</w:t>
            </w:r>
            <w:r>
              <w:rPr>
                <w:rFonts w:hint="eastAsia" w:ascii="宋体" w:cs="宋体"/>
                <w:u w:val="single"/>
              </w:rPr>
              <w:t>2</w:t>
            </w:r>
            <w:r>
              <w:rPr>
                <w:rFonts w:hint="eastAsia" w:ascii="宋体" w:cs="宋体"/>
              </w:rPr>
              <w:t>份。在每一份文件上要注明“正本”或“副本”字样。如果正本与副本、电子投标文件不符，以正本为准。</w:t>
            </w:r>
          </w:p>
          <w:p>
            <w:pPr>
              <w:rPr>
                <w:rFonts w:hint="eastAsia" w:ascii="宋体" w:cs="宋体"/>
                <w:b/>
              </w:rPr>
            </w:pPr>
            <w:r>
              <w:rPr>
                <w:rFonts w:hint="eastAsia" w:ascii="宋体" w:cs="宋体"/>
              </w:rPr>
              <w:t>投标供应商应自带备份电子投标文件，以防损坏。电子投标文件提交要求：</w:t>
            </w:r>
          </w:p>
          <w:p>
            <w:pPr>
              <w:rPr>
                <w:rFonts w:hint="eastAsia" w:ascii="宋体" w:cs="宋体"/>
              </w:rPr>
            </w:pPr>
            <w:r>
              <w:rPr>
                <w:rFonts w:hint="eastAsia" w:ascii="宋体" w:cs="宋体"/>
              </w:rPr>
              <w:t>（1）电子投标文件必须采用光盘</w:t>
            </w:r>
            <w:r>
              <w:rPr>
                <w:rFonts w:hint="eastAsia" w:ascii="宋体" w:cs="宋体"/>
                <w:lang w:val="en-US" w:eastAsia="zh-CN"/>
              </w:rPr>
              <w:t>及U盘</w:t>
            </w:r>
            <w:r>
              <w:rPr>
                <w:rFonts w:hint="eastAsia" w:ascii="宋体" w:cs="宋体"/>
              </w:rPr>
              <w:t>刻录；</w:t>
            </w:r>
          </w:p>
          <w:p>
            <w:pPr>
              <w:rPr>
                <w:rFonts w:hint="eastAsia" w:ascii="宋体" w:cs="宋体"/>
              </w:rPr>
            </w:pPr>
            <w:r>
              <w:rPr>
                <w:rFonts w:hint="eastAsia" w:ascii="宋体" w:cs="宋体"/>
              </w:rPr>
              <w:t>（2）光盘应加贴标签，注明“项目名称、项目编号、包号、投标供应商名称”，每包单独密封；</w:t>
            </w:r>
          </w:p>
          <w:p>
            <w:pPr>
              <w:adjustRightInd w:val="0"/>
              <w:snapToGrid w:val="0"/>
              <w:spacing w:line="360" w:lineRule="exact"/>
              <w:rPr>
                <w:rFonts w:hint="eastAsia" w:ascii="宋体" w:eastAsia="宋体" w:cs="宋体"/>
                <w:lang w:eastAsia="zh-CN"/>
              </w:rPr>
            </w:pPr>
            <w:r>
              <w:rPr>
                <w:rFonts w:hint="eastAsia" w:ascii="宋体" w:cs="宋体"/>
              </w:rPr>
              <w:t>（3）</w:t>
            </w:r>
            <w:r>
              <w:rPr>
                <w:rFonts w:hint="eastAsia" w:ascii="宋体" w:cs="宋体"/>
                <w:b/>
                <w:bCs/>
              </w:rPr>
              <w:t>电子投标文件为纸质价格文件、投标书、资格证明文件正本的PDF格式和DOC格式文档，</w:t>
            </w:r>
            <w:r>
              <w:rPr>
                <w:rFonts w:hint="eastAsia" w:ascii="宋体" w:cs="宋体"/>
              </w:rPr>
              <w:t>目录与相应内容具有链接索引功能，文件名格式：“第X包-项目名称-投标供应商名称”。</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第14.6条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8</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投标有效期</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从提交投标文件的截止之日起</w:t>
            </w:r>
            <w:r>
              <w:rPr>
                <w:rFonts w:hint="eastAsia" w:ascii="宋体" w:hAnsi="宋体" w:cs="宋体"/>
                <w:bCs/>
                <w:u w:val="single"/>
              </w:rPr>
              <w:t xml:space="preserve"> 120 </w:t>
            </w:r>
            <w:r>
              <w:rPr>
                <w:rFonts w:hint="eastAsia" w:ascii="宋体" w:hAnsi="宋体" w:cs="宋体"/>
                <w:bCs/>
              </w:rPr>
              <w:t>日</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第15.1条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9</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投标报价的其他要求</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无</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10</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highlight w:val="none"/>
              </w:rPr>
            </w:pPr>
            <w:r>
              <w:rPr>
                <w:rFonts w:hint="eastAsia" w:ascii="宋体" w:hAnsi="宋体" w:cs="宋体"/>
                <w:bCs/>
                <w:highlight w:val="none"/>
              </w:rPr>
              <w:t>投标保证金</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ind w:left="1440" w:hanging="1440" w:hangingChars="600"/>
              <w:rPr>
                <w:rFonts w:hint="eastAsia" w:ascii="宋体" w:hAnsi="宋体" w:cs="宋体"/>
                <w:sz w:val="24"/>
                <w:highlight w:val="none"/>
                <w:lang w:eastAsia="zh-CN"/>
              </w:rPr>
            </w:pPr>
            <w:bookmarkStart w:id="434" w:name="OLE_LINK1"/>
            <w:r>
              <w:rPr>
                <w:rFonts w:hint="eastAsia" w:ascii="宋体" w:hAnsi="宋体" w:cs="宋体"/>
                <w:sz w:val="24"/>
                <w:highlight w:val="none"/>
                <w:lang w:val="en-US" w:eastAsia="zh-CN"/>
              </w:rPr>
              <w:t>保证金</w:t>
            </w:r>
            <w:r>
              <w:rPr>
                <w:rFonts w:hint="eastAsia" w:ascii="宋体" w:hAnsi="宋体" w:cs="宋体"/>
                <w:sz w:val="24"/>
                <w:highlight w:val="none"/>
              </w:rPr>
              <w:t>金额</w:t>
            </w:r>
            <w:r>
              <w:rPr>
                <w:rFonts w:hint="eastAsia" w:ascii="宋体" w:hAnsi="宋体" w:cs="宋体"/>
                <w:sz w:val="24"/>
                <w:highlight w:val="none"/>
                <w:lang w:eastAsia="zh-CN"/>
              </w:rPr>
              <w:t>：</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1" w:type="dxa"/>
                </w:tcPr>
                <w:p>
                  <w:pPr>
                    <w:pStyle w:val="2"/>
                    <w:rPr>
                      <w:rFonts w:hint="default"/>
                      <w:sz w:val="28"/>
                      <w:szCs w:val="28"/>
                      <w:highlight w:val="none"/>
                      <w:vertAlign w:val="baseline"/>
                      <w:lang w:val="en-US" w:eastAsia="zh-CN"/>
                    </w:rPr>
                  </w:pPr>
                  <w:r>
                    <w:rPr>
                      <w:rFonts w:hint="eastAsia"/>
                      <w:sz w:val="28"/>
                      <w:szCs w:val="28"/>
                      <w:highlight w:val="none"/>
                      <w:vertAlign w:val="baseline"/>
                      <w:lang w:val="en-US" w:eastAsia="zh-CN"/>
                    </w:rPr>
                    <w:t>包号</w:t>
                  </w:r>
                </w:p>
              </w:tc>
              <w:tc>
                <w:tcPr>
                  <w:tcW w:w="2951" w:type="dxa"/>
                </w:tcPr>
                <w:p>
                  <w:pPr>
                    <w:pStyle w:val="2"/>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1" w:type="dxa"/>
                </w:tcPr>
                <w:p>
                  <w:pPr>
                    <w:pStyle w:val="2"/>
                    <w:rPr>
                      <w:rFonts w:hint="eastAsia" w:eastAsia="宋体"/>
                      <w:sz w:val="28"/>
                      <w:szCs w:val="28"/>
                      <w:highlight w:val="none"/>
                      <w:vertAlign w:val="baseline"/>
                      <w:lang w:val="en-US" w:eastAsia="zh-CN"/>
                    </w:rPr>
                  </w:pPr>
                  <w:r>
                    <w:rPr>
                      <w:rFonts w:hint="eastAsia"/>
                      <w:sz w:val="28"/>
                      <w:szCs w:val="28"/>
                      <w:highlight w:val="none"/>
                      <w:vertAlign w:val="baseline"/>
                      <w:lang w:val="en-US" w:eastAsia="zh-CN"/>
                    </w:rPr>
                    <w:t>10包</w:t>
                  </w:r>
                </w:p>
              </w:tc>
              <w:tc>
                <w:tcPr>
                  <w:tcW w:w="2951" w:type="dxa"/>
                </w:tcPr>
                <w:p>
                  <w:pPr>
                    <w:pStyle w:val="2"/>
                    <w:ind w:left="0" w:leftChars="0" w:firstLine="0" w:firstLineChars="0"/>
                    <w:jc w:val="center"/>
                    <w:rPr>
                      <w:rFonts w:hint="default" w:eastAsia="宋体"/>
                      <w:sz w:val="28"/>
                      <w:szCs w:val="28"/>
                      <w:highlight w:val="none"/>
                      <w:vertAlign w:val="baseline"/>
                      <w:lang w:val="en-US" w:eastAsia="zh-CN"/>
                    </w:rPr>
                  </w:pPr>
                  <w:r>
                    <w:rPr>
                      <w:rFonts w:hint="eastAsia"/>
                      <w:sz w:val="28"/>
                      <w:szCs w:val="28"/>
                      <w:highlight w:val="none"/>
                      <w:vertAlign w:val="baseline"/>
                      <w:lang w:val="en-US" w:eastAsia="zh-CN"/>
                    </w:rPr>
                    <w:t>8500</w:t>
                  </w:r>
                </w:p>
              </w:tc>
            </w:tr>
          </w:tbl>
          <w:p>
            <w:pPr>
              <w:adjustRightInd w:val="0"/>
              <w:snapToGrid w:val="0"/>
              <w:spacing w:line="360" w:lineRule="exact"/>
              <w:rPr>
                <w:rFonts w:ascii="宋体" w:hAnsi="宋体" w:cs="宋体"/>
                <w:sz w:val="24"/>
                <w:highlight w:val="none"/>
              </w:rPr>
            </w:pPr>
            <w:r>
              <w:rPr>
                <w:rFonts w:hint="eastAsia" w:ascii="宋体" w:hAnsi="宋体" w:cs="宋体"/>
                <w:sz w:val="24"/>
                <w:highlight w:val="none"/>
              </w:rPr>
              <w:t>缴纳截止时间：</w:t>
            </w:r>
          </w:p>
          <w:p>
            <w:pPr>
              <w:adjustRightInd w:val="0"/>
              <w:snapToGrid w:val="0"/>
              <w:spacing w:line="360" w:lineRule="exact"/>
              <w:rPr>
                <w:rFonts w:hint="default" w:ascii="宋体" w:hAnsi="宋体" w:eastAsia="宋体" w:cs="宋体"/>
                <w:sz w:val="24"/>
                <w:highlight w:val="none"/>
                <w:lang w:val="en-US" w:eastAsia="zh-CN"/>
              </w:rPr>
            </w:pPr>
            <w:r>
              <w:rPr>
                <w:rFonts w:hint="eastAsia" w:ascii="宋体" w:hAnsi="宋体" w:cs="宋体"/>
                <w:sz w:val="24"/>
                <w:highlight w:val="none"/>
                <w:u w:val="single"/>
                <w:lang w:val="en-US" w:eastAsia="zh-CN"/>
              </w:rPr>
              <w:t>2025</w:t>
            </w:r>
            <w:r>
              <w:rPr>
                <w:rFonts w:hint="eastAsia" w:ascii="宋体" w:hAnsi="宋体" w:cs="宋体"/>
                <w:sz w:val="24"/>
                <w:highlight w:val="none"/>
              </w:rPr>
              <w:t>年</w:t>
            </w:r>
            <w:r>
              <w:rPr>
                <w:rFonts w:hint="eastAsia" w:ascii="宋体" w:hAnsi="宋体" w:cs="宋体"/>
                <w:sz w:val="24"/>
                <w:highlight w:val="none"/>
                <w:u w:val="single"/>
                <w:lang w:val="en-US" w:eastAsia="zh-CN"/>
              </w:rPr>
              <w:t>3</w:t>
            </w:r>
            <w:r>
              <w:rPr>
                <w:rFonts w:hint="eastAsia" w:ascii="宋体" w:hAnsi="宋体" w:cs="宋体"/>
                <w:sz w:val="24"/>
                <w:highlight w:val="none"/>
              </w:rPr>
              <w:t>月</w:t>
            </w:r>
            <w:r>
              <w:rPr>
                <w:rFonts w:hint="eastAsia" w:ascii="宋体" w:hAnsi="宋体" w:cs="宋体"/>
                <w:sz w:val="24"/>
                <w:highlight w:val="none"/>
                <w:u w:val="single"/>
                <w:lang w:val="en-US" w:eastAsia="zh-CN"/>
              </w:rPr>
              <w:t>12</w:t>
            </w:r>
            <w:r>
              <w:rPr>
                <w:rFonts w:hint="eastAsia" w:ascii="宋体" w:hAnsi="宋体" w:cs="宋体"/>
                <w:sz w:val="24"/>
                <w:highlight w:val="none"/>
              </w:rPr>
              <w:t>日</w:t>
            </w:r>
            <w:r>
              <w:rPr>
                <w:rFonts w:hint="eastAsia" w:ascii="宋体" w:hAnsi="宋体" w:cs="宋体"/>
                <w:sz w:val="24"/>
                <w:highlight w:val="none"/>
                <w:u w:val="single"/>
                <w:lang w:val="en-US" w:eastAsia="zh-CN"/>
              </w:rPr>
              <w:t>11</w:t>
            </w:r>
            <w:r>
              <w:rPr>
                <w:rFonts w:ascii="宋体" w:hAnsi="宋体" w:cs="宋体"/>
                <w:sz w:val="24"/>
                <w:highlight w:val="none"/>
              </w:rPr>
              <w:t>:</w:t>
            </w:r>
            <w:r>
              <w:rPr>
                <w:rFonts w:hint="eastAsia" w:ascii="宋体" w:hAnsi="宋体" w:cs="宋体"/>
                <w:sz w:val="24"/>
                <w:highlight w:val="none"/>
                <w:u w:val="single"/>
                <w:lang w:val="en-US" w:eastAsia="zh-CN"/>
              </w:rPr>
              <w:t>00</w:t>
            </w:r>
          </w:p>
          <w:p>
            <w:pPr>
              <w:adjustRightInd w:val="0"/>
              <w:snapToGrid w:val="0"/>
              <w:spacing w:line="360" w:lineRule="exact"/>
              <w:rPr>
                <w:rFonts w:ascii="宋体" w:hAnsi="宋体" w:cs="宋体"/>
                <w:sz w:val="24"/>
                <w:highlight w:val="none"/>
              </w:rPr>
            </w:pPr>
            <w:r>
              <w:rPr>
                <w:rFonts w:ascii="宋体" w:hAnsi="宋体" w:cs="宋体"/>
                <w:sz w:val="24"/>
                <w:highlight w:val="none"/>
              </w:rPr>
              <w:t>(本项目投标截止时间），以投标保证金账户实际收款</w:t>
            </w:r>
            <w:r>
              <w:rPr>
                <w:rFonts w:hint="eastAsia" w:ascii="宋体" w:hAnsi="宋体" w:cs="宋体"/>
                <w:sz w:val="24"/>
                <w:highlight w:val="none"/>
              </w:rPr>
              <w:t>时间</w:t>
            </w:r>
            <w:r>
              <w:rPr>
                <w:rFonts w:ascii="宋体" w:hAnsi="宋体" w:cs="宋体"/>
                <w:sz w:val="24"/>
                <w:highlight w:val="none"/>
              </w:rPr>
              <w:t>为准</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缴纳投标保证金账户信息：</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账户名称：中国人民解放军陆军第九四六医院收缴户</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账    号：107093997812</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开户银行：</w:t>
            </w:r>
            <w:r>
              <w:rPr>
                <w:rFonts w:hint="eastAsia" w:ascii="宋体" w:hAnsi="宋体"/>
                <w:sz w:val="24"/>
                <w:highlight w:val="none"/>
              </w:rPr>
              <w:t>中国银行伊犁哈萨克自治州分行营业部</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以电汇方式递交保证金须在电汇凭据附言栏中写明项目名称简称</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包号</w:t>
            </w:r>
            <w:r>
              <w:rPr>
                <w:rFonts w:hint="eastAsia" w:ascii="宋体" w:hAnsi="宋体" w:cs="宋体"/>
                <w:bCs/>
                <w:sz w:val="24"/>
                <w:highlight w:val="none"/>
              </w:rPr>
              <w:t>及项目编号</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注：1）从投标人基本账户以银行电汇或网银形式汇至投标保证金专用账户，投标人提交投标保证金应充分考虑资金在途时间,保证金须在投标截止时间前到账。</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2）投标保证金有效期与投标有效期一致，投标文件中须提供加盖投标人公章的转账凭证或保证金收据证明材料复印件；</w:t>
            </w:r>
          </w:p>
          <w:p>
            <w:pPr>
              <w:adjustRightInd w:val="0"/>
              <w:snapToGrid w:val="0"/>
              <w:spacing w:line="360" w:lineRule="exact"/>
              <w:jc w:val="left"/>
              <w:rPr>
                <w:rFonts w:hint="eastAsia" w:ascii="宋体" w:hAnsi="宋体" w:cs="宋体"/>
                <w:bCs/>
                <w:sz w:val="24"/>
                <w:highlight w:val="none"/>
              </w:rPr>
            </w:pPr>
            <w:r>
              <w:rPr>
                <w:rFonts w:hint="eastAsia" w:ascii="宋体" w:hAnsi="宋体" w:cs="宋体"/>
                <w:bCs/>
                <w:sz w:val="24"/>
                <w:highlight w:val="none"/>
              </w:rPr>
              <w:t>3）投标前投标人不能按照投标文件要求缴纳投标保证金的，报价文件将被拒绝；</w:t>
            </w:r>
          </w:p>
          <w:p>
            <w:pPr>
              <w:adjustRightInd w:val="0"/>
              <w:snapToGrid w:val="0"/>
              <w:spacing w:line="360" w:lineRule="exact"/>
              <w:rPr>
                <w:rFonts w:hint="eastAsia" w:ascii="宋体" w:hAnsi="宋体" w:cs="宋体"/>
                <w:bCs/>
                <w:kern w:val="2"/>
                <w:highlight w:val="none"/>
              </w:rPr>
            </w:pPr>
            <w:r>
              <w:rPr>
                <w:rFonts w:hint="eastAsia" w:ascii="宋体" w:hAnsi="宋体" w:cs="宋体"/>
                <w:bCs/>
                <w:sz w:val="24"/>
                <w:highlight w:val="none"/>
              </w:rPr>
              <w:t>4）退保金流程：电话咨询招标人。</w:t>
            </w:r>
            <w:bookmarkEnd w:id="434"/>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第17条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11</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投标开始和截止时间及地点、方式</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tabs>
                <w:tab w:val="left" w:pos="888"/>
              </w:tabs>
              <w:spacing w:line="360" w:lineRule="exact"/>
              <w:rPr>
                <w:rFonts w:hint="eastAsia" w:ascii="宋体" w:hAnsi="宋体"/>
                <w:sz w:val="24"/>
                <w:highlight w:val="none"/>
              </w:rPr>
            </w:pPr>
            <w:r>
              <w:rPr>
                <w:rFonts w:hint="eastAsia" w:ascii="宋体" w:hAnsi="宋体"/>
                <w:sz w:val="24"/>
                <w:highlight w:val="none"/>
              </w:rPr>
              <w:t>投标开始时间：</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11</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w:t>
            </w:r>
          </w:p>
          <w:p>
            <w:pPr>
              <w:tabs>
                <w:tab w:val="left" w:pos="888"/>
              </w:tabs>
              <w:spacing w:line="360" w:lineRule="exact"/>
              <w:rPr>
                <w:rFonts w:hint="eastAsia" w:ascii="宋体" w:hAnsi="宋体"/>
                <w:sz w:val="24"/>
                <w:highlight w:val="none"/>
              </w:rPr>
            </w:pPr>
            <w:r>
              <w:rPr>
                <w:rFonts w:hint="eastAsia" w:ascii="宋体" w:hAnsi="宋体"/>
                <w:sz w:val="24"/>
                <w:highlight w:val="none"/>
              </w:rPr>
              <w:t>投标截止时间：</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11</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w:t>
            </w:r>
          </w:p>
          <w:p>
            <w:pPr>
              <w:tabs>
                <w:tab w:val="left" w:pos="888"/>
              </w:tabs>
              <w:spacing w:line="360" w:lineRule="exact"/>
              <w:rPr>
                <w:rFonts w:ascii="宋体" w:hAnsi="宋体"/>
                <w:sz w:val="24"/>
                <w:highlight w:val="none"/>
              </w:rPr>
            </w:pPr>
            <w:r>
              <w:rPr>
                <w:rFonts w:hint="eastAsia" w:ascii="宋体" w:hAnsi="宋体"/>
                <w:sz w:val="24"/>
                <w:highlight w:val="none"/>
              </w:rPr>
              <w:t>投标地点：</w:t>
            </w:r>
            <w:r>
              <w:rPr>
                <w:rFonts w:hint="eastAsia" w:ascii="宋体" w:hAnsi="宋体"/>
                <w:sz w:val="24"/>
                <w:highlight w:val="none"/>
                <w:lang w:val="en-US" w:eastAsia="zh-CN"/>
              </w:rPr>
              <w:t>随行易交易(新疆)电子招标投标交易平台（http://xj.enjoy5191.com/#/home）</w:t>
            </w:r>
          </w:p>
          <w:p>
            <w:pPr>
              <w:adjustRightInd w:val="0"/>
              <w:snapToGrid w:val="0"/>
              <w:spacing w:line="360" w:lineRule="exact"/>
              <w:rPr>
                <w:rFonts w:hint="default" w:ascii="宋体" w:hAnsi="宋体" w:eastAsia="宋体" w:cs="宋体"/>
                <w:bCs/>
                <w:lang w:val="en-US" w:eastAsia="zh-CN"/>
              </w:rPr>
            </w:pPr>
            <w:r>
              <w:rPr>
                <w:rFonts w:hint="eastAsia" w:ascii="宋体" w:hAnsi="宋体"/>
              </w:rPr>
              <w:t>投标方式：</w:t>
            </w:r>
            <w:r>
              <w:rPr>
                <w:rFonts w:hint="eastAsia" w:ascii="宋体" w:hAnsi="宋体"/>
                <w:lang w:val="en-US" w:eastAsia="zh-CN"/>
              </w:rPr>
              <w:t>线上递交</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第10.1条和</w:t>
            </w:r>
          </w:p>
          <w:p>
            <w:pPr>
              <w:adjustRightInd w:val="0"/>
              <w:snapToGrid w:val="0"/>
              <w:spacing w:line="360" w:lineRule="exact"/>
              <w:rPr>
                <w:rFonts w:hint="eastAsia" w:ascii="宋体" w:hAnsi="宋体" w:cs="宋体"/>
                <w:bCs/>
              </w:rPr>
            </w:pPr>
            <w:r>
              <w:rPr>
                <w:rFonts w:hint="eastAsia" w:ascii="宋体" w:hAnsi="宋体" w:cs="宋体"/>
                <w:bCs/>
              </w:rPr>
              <w:t>第18.4条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12</w:t>
            </w:r>
          </w:p>
        </w:tc>
        <w:tc>
          <w:tcPr>
            <w:tcW w:w="742" w:type="pct"/>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宋体" w:hAnsi="宋体" w:cs="宋体"/>
                <w:bCs/>
              </w:rPr>
            </w:pPr>
            <w:r>
              <w:rPr>
                <w:rFonts w:hint="eastAsia" w:ascii="宋体" w:hAnsi="宋体" w:cs="宋体"/>
                <w:bCs/>
              </w:rPr>
              <w:t>开标时间及地点</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tabs>
                <w:tab w:val="left" w:pos="888"/>
              </w:tabs>
              <w:spacing w:line="360" w:lineRule="exact"/>
              <w:rPr>
                <w:rFonts w:hint="eastAsia" w:ascii="宋体" w:hAnsi="宋体"/>
                <w:sz w:val="24"/>
                <w:highlight w:val="none"/>
              </w:rPr>
            </w:pPr>
            <w:r>
              <w:rPr>
                <w:rFonts w:hint="eastAsia" w:ascii="宋体" w:hAnsi="宋体"/>
                <w:sz w:val="24"/>
                <w:highlight w:val="none"/>
              </w:rPr>
              <w:t>开标时间：</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r>
              <w:rPr>
                <w:rFonts w:hint="eastAsia" w:ascii="宋体" w:hAnsi="宋体"/>
                <w:sz w:val="24"/>
                <w:highlight w:val="none"/>
                <w:lang w:val="en-US" w:eastAsia="zh-CN"/>
              </w:rPr>
              <w:t>11</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w:t>
            </w:r>
          </w:p>
          <w:p>
            <w:pPr>
              <w:adjustRightInd w:val="0"/>
              <w:snapToGrid w:val="0"/>
              <w:spacing w:line="360" w:lineRule="exact"/>
              <w:rPr>
                <w:rFonts w:hint="eastAsia" w:ascii="宋体" w:hAnsi="宋体" w:eastAsia="宋体" w:cs="宋体"/>
                <w:bCs/>
                <w:lang w:eastAsia="zh-CN"/>
              </w:rPr>
            </w:pPr>
            <w:r>
              <w:rPr>
                <w:rFonts w:hint="eastAsia" w:ascii="宋体" w:hAnsi="宋体"/>
                <w:sz w:val="24"/>
                <w:highlight w:val="none"/>
              </w:rPr>
              <w:t>开标地点：</w:t>
            </w:r>
            <w:r>
              <w:rPr>
                <w:rFonts w:hint="eastAsia" w:ascii="宋体" w:hAnsi="宋体"/>
                <w:sz w:val="24"/>
                <w:highlight w:val="none"/>
                <w:lang w:val="en-US" w:eastAsia="zh-CN"/>
              </w:rPr>
              <w:t>随行易交易(新疆)电子招标投标交易平台（http://xj.enjoy5191.com/#/home）</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第20.1条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13</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资格性审查标准</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本章附表1</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第22.1条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14</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符合性审查标准</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本章附表2</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第22.2条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15</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商务评审标准</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本章附表3</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第22.3条第（1）项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16</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技术评审标准</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本章附表4</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第22.3条第（2）项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17</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价格评审标准</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本章附表5</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第22.3条第（3）项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99"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18</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非实质性负偏离的项数</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 投标文件中非实质性商务条款负偏离</w:t>
            </w:r>
            <w:r>
              <w:rPr>
                <w:rFonts w:hint="eastAsia" w:ascii="宋体" w:hAnsi="宋体" w:cs="宋体"/>
                <w:bCs/>
                <w:u w:val="single"/>
              </w:rPr>
              <w:t xml:space="preserve"> / </w:t>
            </w:r>
            <w:r>
              <w:rPr>
                <w:rFonts w:hint="eastAsia" w:ascii="宋体" w:hAnsi="宋体" w:cs="宋体"/>
                <w:bCs/>
              </w:rPr>
              <w:t>项以上，视为无效投标；</w:t>
            </w:r>
          </w:p>
          <w:p>
            <w:pPr>
              <w:adjustRightInd w:val="0"/>
              <w:snapToGrid w:val="0"/>
              <w:spacing w:line="360" w:lineRule="exact"/>
              <w:rPr>
                <w:rFonts w:hint="eastAsia" w:ascii="宋体" w:hAnsi="宋体" w:cs="宋体"/>
                <w:bCs/>
              </w:rPr>
            </w:pPr>
            <w:r>
              <w:rPr>
                <w:rFonts w:hint="eastAsia" w:ascii="宋体" w:hAnsi="宋体" w:cs="宋体"/>
                <w:bCs/>
              </w:rPr>
              <w:t>□ 投标文件中非实质性技术指标参数负偏离</w:t>
            </w:r>
            <w:r>
              <w:rPr>
                <w:rFonts w:hint="eastAsia" w:ascii="宋体" w:hAnsi="宋体" w:cs="宋体"/>
                <w:bCs/>
                <w:u w:val="single"/>
              </w:rPr>
              <w:t xml:space="preserve"> /  </w:t>
            </w:r>
            <w:r>
              <w:rPr>
                <w:rFonts w:hint="eastAsia" w:ascii="宋体" w:hAnsi="宋体" w:cs="宋体"/>
                <w:bCs/>
              </w:rPr>
              <w:t>项以上，视为无效投标；</w:t>
            </w:r>
          </w:p>
          <w:p>
            <w:pPr>
              <w:adjustRightInd w:val="0"/>
              <w:snapToGrid w:val="0"/>
              <w:spacing w:line="360" w:lineRule="exact"/>
              <w:rPr>
                <w:rFonts w:hint="eastAsia" w:ascii="宋体" w:hAnsi="宋体" w:cs="宋体"/>
                <w:bCs/>
              </w:rPr>
            </w:pPr>
            <w:r>
              <w:rPr>
                <w:rFonts w:hint="eastAsia" w:ascii="宋体" w:hAnsi="宋体" w:cs="宋体"/>
                <w:bCs/>
              </w:rPr>
              <w:t>□</w:t>
            </w:r>
            <w:r>
              <w:rPr>
                <w:rFonts w:hint="eastAsia" w:ascii="宋体" w:hAnsi="宋体" w:cs="宋体"/>
                <w:bCs/>
                <w:u w:val="single"/>
              </w:rPr>
              <w:t xml:space="preserve"> /                               </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第27.1条第（2）项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23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19</w:t>
            </w:r>
          </w:p>
        </w:tc>
        <w:tc>
          <w:tcPr>
            <w:tcW w:w="74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评审方法</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60" w:lineRule="exact"/>
              <w:jc w:val="left"/>
              <w:rPr>
                <w:rFonts w:hint="eastAsia" w:ascii="宋体" w:hAnsi="宋体" w:cs="宋体"/>
                <w:bCs/>
              </w:rPr>
            </w:pPr>
            <w:r>
              <w:rPr>
                <w:rFonts w:hint="eastAsia" w:ascii="宋体" w:hAnsi="宋体" w:cs="宋体"/>
                <w:bCs/>
              </w:rPr>
              <w:t>■综合评分法</w:t>
            </w:r>
          </w:p>
          <w:p>
            <w:pPr>
              <w:widowControl/>
              <w:adjustRightInd w:val="0"/>
              <w:snapToGrid w:val="0"/>
              <w:spacing w:line="360" w:lineRule="exact"/>
              <w:jc w:val="left"/>
              <w:rPr>
                <w:rFonts w:hint="eastAsia" w:ascii="宋体" w:hAnsi="宋体" w:cs="宋体"/>
                <w:bCs/>
              </w:rPr>
            </w:pPr>
            <w:r>
              <w:rPr>
                <w:rFonts w:hint="eastAsia" w:ascii="宋体" w:hAnsi="宋体" w:cs="宋体"/>
                <w:bCs/>
              </w:rPr>
              <w:t>□经评审的最低价法</w:t>
            </w:r>
          </w:p>
        </w:tc>
        <w:tc>
          <w:tcPr>
            <w:tcW w:w="818" w:type="pct"/>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60" w:lineRule="exact"/>
              <w:jc w:val="left"/>
              <w:rPr>
                <w:rFonts w:hint="eastAsia" w:ascii="宋体" w:hAnsi="宋体" w:cs="宋体"/>
                <w:bCs/>
              </w:rPr>
            </w:pPr>
            <w:r>
              <w:rPr>
                <w:rFonts w:hint="eastAsia" w:ascii="宋体" w:hAnsi="宋体" w:cs="宋体"/>
                <w:bCs/>
              </w:rPr>
              <w:t>第21.2条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2"/>
              </w:rPr>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kern w:val="2"/>
              </w:rPr>
            </w:pPr>
          </w:p>
        </w:tc>
        <w:tc>
          <w:tcPr>
            <w:tcW w:w="77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□质量优先法</w:t>
            </w:r>
          </w:p>
        </w:tc>
        <w:tc>
          <w:tcPr>
            <w:tcW w:w="242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□技术得分达到</w:t>
            </w:r>
            <w:r>
              <w:rPr>
                <w:rFonts w:hint="eastAsia" w:ascii="宋体" w:hAnsi="宋体" w:cs="宋体"/>
                <w:bCs/>
                <w:u w:val="single"/>
              </w:rPr>
              <w:t xml:space="preserve">     </w:t>
            </w:r>
            <w:r>
              <w:rPr>
                <w:rFonts w:hint="eastAsia" w:ascii="宋体" w:hAnsi="宋体" w:cs="宋体"/>
                <w:bCs/>
              </w:rPr>
              <w:t>分以上。</w:t>
            </w:r>
          </w:p>
          <w:p>
            <w:pPr>
              <w:adjustRightInd w:val="0"/>
              <w:snapToGrid w:val="0"/>
              <w:spacing w:line="360" w:lineRule="exact"/>
              <w:rPr>
                <w:rFonts w:hint="eastAsia" w:ascii="宋体" w:hAnsi="宋体" w:cs="宋体"/>
                <w:bCs/>
              </w:rPr>
            </w:pPr>
            <w:r>
              <w:rPr>
                <w:rFonts w:hint="eastAsia" w:ascii="宋体" w:hAnsi="宋体" w:cs="宋体"/>
                <w:bCs/>
              </w:rPr>
              <w:t>□技术得分达到前</w:t>
            </w:r>
            <w:r>
              <w:rPr>
                <w:rFonts w:hint="eastAsia" w:ascii="宋体" w:hAnsi="宋体" w:cs="宋体"/>
                <w:bCs/>
                <w:u w:val="single"/>
              </w:rPr>
              <w:t xml:space="preserve">     </w:t>
            </w:r>
            <w:r>
              <w:rPr>
                <w:rFonts w:hint="eastAsia" w:ascii="宋体" w:hAnsi="宋体" w:cs="宋体"/>
                <w:bCs/>
              </w:rPr>
              <w:t>名。</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第21.2条和</w:t>
            </w:r>
          </w:p>
          <w:p>
            <w:pPr>
              <w:adjustRightInd w:val="0"/>
              <w:snapToGrid w:val="0"/>
              <w:spacing w:line="360" w:lineRule="exact"/>
              <w:rPr>
                <w:rFonts w:hint="eastAsia" w:ascii="宋体" w:hAnsi="宋体" w:cs="宋体"/>
                <w:bCs/>
              </w:rPr>
            </w:pPr>
            <w:r>
              <w:rPr>
                <w:rFonts w:hint="eastAsia" w:ascii="宋体" w:hAnsi="宋体" w:cs="宋体"/>
                <w:bCs/>
              </w:rPr>
              <w:t>第29.1条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20</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※样品评审方法</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pStyle w:val="20"/>
              <w:spacing w:line="360" w:lineRule="exact"/>
              <w:rPr>
                <w:rFonts w:hint="eastAsia" w:ascii="宋体" w:hAnsi="宋体"/>
                <w:sz w:val="24"/>
              </w:rPr>
            </w:pPr>
            <w:r>
              <w:rPr>
                <w:rFonts w:hint="eastAsia" w:ascii="宋体" w:hAnsi="宋体"/>
                <w:sz w:val="24"/>
              </w:rPr>
              <w:t>不涉及</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第29.3条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21</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相同品牌供应商得分或报价相同的规定</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执行通用文件条款</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第29.4条第（1）项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22</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核心产品的规定</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执行通用文件条款</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第29.4条第（2）项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23</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质疑受理单位及联系方式</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highlight w:val="none"/>
                <w:u w:val="single"/>
              </w:rPr>
            </w:pPr>
            <w:r>
              <w:rPr>
                <w:rFonts w:hint="eastAsia" w:ascii="宋体" w:hAnsi="宋体" w:cs="宋体"/>
                <w:bCs/>
                <w:highlight w:val="none"/>
                <w:u w:val="single"/>
              </w:rPr>
              <w:t>处理部门：采购管理部门</w:t>
            </w:r>
          </w:p>
          <w:p>
            <w:pPr>
              <w:adjustRightInd w:val="0"/>
              <w:snapToGrid w:val="0"/>
              <w:spacing w:line="360" w:lineRule="exact"/>
              <w:rPr>
                <w:rFonts w:hint="eastAsia" w:ascii="宋体" w:hAnsi="宋体" w:cs="宋体"/>
                <w:bCs/>
                <w:highlight w:val="none"/>
                <w:u w:val="single"/>
              </w:rPr>
            </w:pPr>
            <w:r>
              <w:rPr>
                <w:rFonts w:hint="eastAsia" w:ascii="宋体" w:hAnsi="宋体" w:cs="宋体"/>
                <w:bCs/>
                <w:highlight w:val="none"/>
                <w:u w:val="single"/>
              </w:rPr>
              <w:t xml:space="preserve">联系人： </w:t>
            </w:r>
            <w:r>
              <w:rPr>
                <w:rFonts w:hint="eastAsia" w:ascii="宋体" w:hAnsi="宋体" w:cs="宋体"/>
                <w:bCs/>
                <w:highlight w:val="none"/>
                <w:u w:val="single"/>
                <w:lang w:val="en-US" w:eastAsia="zh-CN"/>
              </w:rPr>
              <w:t>库老师</w:t>
            </w:r>
            <w:r>
              <w:rPr>
                <w:rFonts w:hint="eastAsia" w:ascii="宋体" w:hAnsi="宋体" w:cs="宋体"/>
                <w:bCs/>
                <w:highlight w:val="none"/>
                <w:u w:val="single"/>
              </w:rPr>
              <w:t xml:space="preserve"> </w:t>
            </w:r>
          </w:p>
          <w:p>
            <w:pPr>
              <w:adjustRightInd w:val="0"/>
              <w:snapToGrid w:val="0"/>
              <w:spacing w:line="360" w:lineRule="exact"/>
              <w:rPr>
                <w:rFonts w:hint="default" w:ascii="宋体" w:hAnsi="宋体" w:eastAsia="宋体" w:cs="宋体"/>
                <w:bCs/>
                <w:lang w:val="en-US" w:eastAsia="zh-CN"/>
              </w:rPr>
            </w:pPr>
            <w:r>
              <w:rPr>
                <w:rFonts w:hint="eastAsia" w:ascii="宋体" w:hAnsi="宋体" w:cs="宋体"/>
                <w:bCs/>
                <w:highlight w:val="none"/>
                <w:u w:val="single"/>
              </w:rPr>
              <w:t>联系方式：</w:t>
            </w:r>
            <w:r>
              <w:rPr>
                <w:rFonts w:hint="eastAsia" w:ascii="宋体" w:hAnsi="宋体" w:cs="宋体"/>
                <w:bCs/>
                <w:highlight w:val="none"/>
                <w:u w:val="single"/>
                <w:lang w:val="en-US" w:eastAsia="zh-CN"/>
              </w:rPr>
              <w:t>18997963694</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第42.4条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cs="宋体"/>
                <w:bCs/>
              </w:rPr>
            </w:pPr>
            <w:r>
              <w:rPr>
                <w:rFonts w:hint="eastAsia" w:ascii="宋体" w:hAnsi="宋体" w:cs="宋体"/>
                <w:bCs/>
              </w:rPr>
              <w:t>24</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受理、处理投诉申请部门及联系方式</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highlight w:val="none"/>
                <w:u w:val="single"/>
              </w:rPr>
            </w:pPr>
            <w:r>
              <w:rPr>
                <w:rFonts w:hint="eastAsia" w:ascii="宋体" w:hAnsi="宋体" w:cs="宋体"/>
                <w:bCs/>
                <w:highlight w:val="none"/>
                <w:u w:val="single"/>
              </w:rPr>
              <w:t>处理部门：采购管理部门</w:t>
            </w:r>
          </w:p>
          <w:p>
            <w:pPr>
              <w:adjustRightInd w:val="0"/>
              <w:snapToGrid w:val="0"/>
              <w:spacing w:line="360" w:lineRule="exact"/>
              <w:rPr>
                <w:rFonts w:hint="eastAsia" w:ascii="宋体" w:hAnsi="宋体" w:cs="宋体"/>
                <w:bCs/>
                <w:highlight w:val="none"/>
                <w:u w:val="single"/>
              </w:rPr>
            </w:pPr>
            <w:r>
              <w:rPr>
                <w:rFonts w:hint="eastAsia" w:ascii="宋体" w:hAnsi="宋体" w:cs="宋体"/>
                <w:bCs/>
                <w:highlight w:val="none"/>
                <w:u w:val="single"/>
              </w:rPr>
              <w:t xml:space="preserve">联系人： </w:t>
            </w:r>
            <w:r>
              <w:rPr>
                <w:rFonts w:hint="eastAsia" w:ascii="宋体" w:hAnsi="宋体" w:cs="宋体"/>
                <w:bCs/>
                <w:highlight w:val="none"/>
                <w:u w:val="single"/>
                <w:lang w:val="en-US" w:eastAsia="zh-CN"/>
              </w:rPr>
              <w:t>库老师</w:t>
            </w:r>
            <w:r>
              <w:rPr>
                <w:rFonts w:hint="eastAsia" w:ascii="宋体" w:hAnsi="宋体" w:cs="宋体"/>
                <w:bCs/>
                <w:highlight w:val="none"/>
                <w:u w:val="single"/>
              </w:rPr>
              <w:t xml:space="preserve"> </w:t>
            </w:r>
          </w:p>
          <w:p>
            <w:pPr>
              <w:adjustRightInd w:val="0"/>
              <w:snapToGrid w:val="0"/>
              <w:spacing w:line="360" w:lineRule="exact"/>
              <w:rPr>
                <w:rFonts w:hint="default" w:ascii="宋体" w:hAnsi="宋体" w:cs="宋体"/>
                <w:bCs/>
                <w:lang w:val="en-US"/>
              </w:rPr>
            </w:pPr>
            <w:r>
              <w:rPr>
                <w:rFonts w:hint="eastAsia" w:ascii="宋体" w:hAnsi="宋体" w:cs="宋体"/>
                <w:bCs/>
                <w:highlight w:val="none"/>
                <w:u w:val="single"/>
              </w:rPr>
              <w:t>联系方式：</w:t>
            </w:r>
            <w:r>
              <w:rPr>
                <w:rFonts w:hint="eastAsia" w:ascii="宋体" w:hAnsi="宋体" w:cs="宋体"/>
                <w:bCs/>
                <w:highlight w:val="none"/>
                <w:u w:val="single"/>
                <w:lang w:val="en-US" w:eastAsia="zh-CN"/>
              </w:rPr>
              <w:t>18997963694</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cs="宋体"/>
                <w:bCs/>
              </w:rPr>
            </w:pPr>
            <w:r>
              <w:rPr>
                <w:rFonts w:hint="eastAsia" w:ascii="宋体" w:hAnsi="宋体" w:cs="宋体"/>
                <w:bCs/>
              </w:rPr>
              <w:t>第43.4条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2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jc w:val="center"/>
              <w:rPr>
                <w:rFonts w:hint="eastAsia" w:ascii="宋体" w:hAnsi="宋体" w:eastAsia="宋体" w:cs="宋体"/>
                <w:bCs/>
                <w:kern w:val="0"/>
                <w:sz w:val="24"/>
                <w:szCs w:val="24"/>
                <w:lang w:val="en-US" w:eastAsia="zh-CN" w:bidi="ar-SA"/>
              </w:rPr>
            </w:pPr>
            <w:bookmarkStart w:id="435" w:name="_Toc13270"/>
            <w:r>
              <w:rPr>
                <w:rFonts w:hint="eastAsia" w:ascii="宋体" w:hAnsi="宋体" w:cs="宋体"/>
                <w:bCs/>
                <w:lang w:val="en-US" w:eastAsia="zh-CN"/>
              </w:rPr>
              <w:t>25</w:t>
            </w:r>
          </w:p>
        </w:tc>
        <w:tc>
          <w:tcPr>
            <w:tcW w:w="7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eastAsia="宋体" w:cs="宋体"/>
                <w:bCs/>
                <w:kern w:val="0"/>
                <w:sz w:val="24"/>
                <w:szCs w:val="24"/>
                <w:lang w:val="en-US" w:eastAsia="zh-CN" w:bidi="ar-SA"/>
              </w:rPr>
            </w:pPr>
            <w:r>
              <w:rPr>
                <w:rFonts w:hint="eastAsia" w:ascii="宋体" w:hAnsi="宋体"/>
                <w:bCs/>
              </w:rPr>
              <w:t>近3年审计报告</w:t>
            </w:r>
          </w:p>
        </w:tc>
        <w:tc>
          <w:tcPr>
            <w:tcW w:w="32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eastAsia="宋体" w:cs="宋体"/>
                <w:bCs/>
                <w:kern w:val="0"/>
                <w:sz w:val="24"/>
                <w:szCs w:val="24"/>
                <w:u w:val="single"/>
                <w:lang w:val="en-US" w:eastAsia="zh-CN" w:bidi="ar-SA"/>
              </w:rPr>
            </w:pPr>
            <w:r>
              <w:rPr>
                <w:rFonts w:hint="eastAsia" w:ascii="宋体" w:hAnsi="宋体" w:cs="宋体"/>
                <w:bCs/>
                <w:u w:val="single"/>
                <w:lang w:eastAsia="zh-CN"/>
              </w:rPr>
              <w:t>指</w:t>
            </w:r>
            <w:r>
              <w:rPr>
                <w:rFonts w:hint="eastAsia" w:ascii="宋体" w:hAnsi="宋体" w:cs="宋体"/>
                <w:bCs/>
                <w:u w:val="single"/>
                <w:lang w:val="en-US" w:eastAsia="zh-CN"/>
              </w:rPr>
              <w:t>2021年、2022年、2023年</w:t>
            </w:r>
          </w:p>
        </w:tc>
        <w:tc>
          <w:tcPr>
            <w:tcW w:w="81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exact"/>
              <w:rPr>
                <w:rFonts w:hint="eastAsia" w:ascii="宋体" w:hAnsi="宋体" w:eastAsia="宋体" w:cs="宋体"/>
                <w:bCs/>
                <w:kern w:val="0"/>
                <w:sz w:val="24"/>
                <w:szCs w:val="24"/>
                <w:lang w:val="en-US" w:eastAsia="zh-CN" w:bidi="ar-SA"/>
              </w:rPr>
            </w:pPr>
          </w:p>
        </w:tc>
      </w:tr>
    </w:tbl>
    <w:p>
      <w:pPr>
        <w:rPr>
          <w:rFonts w:hint="eastAsia"/>
          <w:kern w:val="2"/>
          <w:sz w:val="21"/>
        </w:rPr>
      </w:pPr>
    </w:p>
    <w:p>
      <w:pPr>
        <w:pStyle w:val="20"/>
        <w:rPr>
          <w:rFonts w:eastAsia="黑体"/>
        </w:rPr>
      </w:pPr>
      <w:r>
        <w:br w:type="page"/>
      </w:r>
    </w:p>
    <w:p>
      <w:pPr>
        <w:pStyle w:val="7"/>
        <w:numPr>
          <w:ilvl w:val="2"/>
          <w:numId w:val="0"/>
        </w:numPr>
        <w:tabs>
          <w:tab w:val="clear" w:pos="1820"/>
        </w:tabs>
        <w:spacing w:before="120" w:beforeLines="50" w:after="120" w:afterLines="50" w:line="560" w:lineRule="exact"/>
        <w:ind w:leftChars="0"/>
        <w:rPr>
          <w:rFonts w:ascii="黑体" w:hAnsi="黑体" w:eastAsia="黑体"/>
          <w:b w:val="0"/>
          <w:sz w:val="28"/>
          <w:szCs w:val="28"/>
        </w:rPr>
      </w:pPr>
      <w:bookmarkStart w:id="436" w:name="_Toc132190626"/>
      <w:bookmarkStart w:id="437" w:name="_Toc130886991"/>
      <w:bookmarkStart w:id="438" w:name="_Toc130657984"/>
      <w:bookmarkStart w:id="439" w:name="_Toc128397962"/>
      <w:bookmarkStart w:id="440" w:name="_Toc127820556"/>
      <w:bookmarkStart w:id="441" w:name="_Toc130657530"/>
      <w:bookmarkStart w:id="442" w:name="_Toc128150770"/>
      <w:bookmarkStart w:id="443" w:name="_Toc128150126"/>
      <w:bookmarkStart w:id="444" w:name="_Toc128151019"/>
      <w:bookmarkStart w:id="445" w:name="_Toc130887492"/>
      <w:r>
        <w:rPr>
          <w:rFonts w:hint="eastAsia" w:ascii="黑体" w:hAnsi="黑体"/>
          <w:b w:val="0"/>
          <w:sz w:val="28"/>
          <w:szCs w:val="28"/>
        </w:rPr>
        <w:t>附表1 资格性审查表</w:t>
      </w:r>
      <w:bookmarkEnd w:id="435"/>
      <w:bookmarkEnd w:id="436"/>
      <w:bookmarkEnd w:id="437"/>
      <w:bookmarkEnd w:id="438"/>
      <w:bookmarkEnd w:id="439"/>
      <w:bookmarkEnd w:id="440"/>
      <w:bookmarkEnd w:id="441"/>
      <w:bookmarkEnd w:id="442"/>
      <w:bookmarkEnd w:id="443"/>
      <w:bookmarkEnd w:id="444"/>
      <w:bookmarkEnd w:id="445"/>
    </w:p>
    <w:p>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资格性审查表</w:t>
      </w:r>
    </w:p>
    <w:p>
      <w:pPr>
        <w:spacing w:line="560" w:lineRule="exact"/>
        <w:rPr>
          <w:rFonts w:hint="eastAsia"/>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5"/>
        <w:tblW w:w="5000" w:type="pct"/>
        <w:jc w:val="center"/>
        <w:tblLayout w:type="autofit"/>
        <w:tblCellMar>
          <w:top w:w="0" w:type="dxa"/>
          <w:left w:w="108" w:type="dxa"/>
          <w:bottom w:w="0" w:type="dxa"/>
          <w:right w:w="108" w:type="dxa"/>
        </w:tblCellMar>
      </w:tblPr>
      <w:tblGrid>
        <w:gridCol w:w="3189"/>
        <w:gridCol w:w="1133"/>
        <w:gridCol w:w="1139"/>
        <w:gridCol w:w="4109"/>
      </w:tblGrid>
      <w:tr>
        <w:tblPrEx>
          <w:tblCellMar>
            <w:top w:w="0" w:type="dxa"/>
            <w:left w:w="108" w:type="dxa"/>
            <w:bottom w:w="0" w:type="dxa"/>
            <w:right w:w="108" w:type="dxa"/>
          </w:tblCellMar>
        </w:tblPrEx>
        <w:trPr>
          <w:trHeight w:val="357" w:hRule="atLeast"/>
          <w:tblHeader/>
          <w:jc w:val="center"/>
        </w:trPr>
        <w:tc>
          <w:tcPr>
            <w:tcW w:w="166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Cs/>
              </w:rPr>
            </w:pPr>
            <w:r>
              <w:rPr>
                <w:rFonts w:hint="eastAsia" w:ascii="宋体" w:hAnsi="宋体" w:cs="宋体"/>
                <w:bCs/>
              </w:rPr>
              <w:t>审查项目</w:t>
            </w:r>
          </w:p>
        </w:tc>
        <w:tc>
          <w:tcPr>
            <w:tcW w:w="1187" w:type="pct"/>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cs="宋体"/>
                <w:bCs/>
              </w:rPr>
            </w:pPr>
            <w:r>
              <w:rPr>
                <w:rFonts w:hint="eastAsia" w:ascii="宋体" w:hAnsi="宋体" w:cs="宋体"/>
                <w:bCs/>
              </w:rPr>
              <w:t>是否合格</w:t>
            </w:r>
          </w:p>
        </w:tc>
        <w:tc>
          <w:tcPr>
            <w:tcW w:w="2146" w:type="pct"/>
            <w:vMerge w:val="restart"/>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cs="宋体"/>
                <w:bCs/>
              </w:rPr>
            </w:pPr>
            <w:r>
              <w:rPr>
                <w:rFonts w:hint="eastAsia" w:ascii="宋体" w:hAnsi="宋体" w:cs="宋体"/>
                <w:bCs/>
              </w:rPr>
              <w:t>具体要求</w:t>
            </w:r>
          </w:p>
        </w:tc>
      </w:tr>
      <w:tr>
        <w:tblPrEx>
          <w:tblCellMar>
            <w:top w:w="0" w:type="dxa"/>
            <w:left w:w="108" w:type="dxa"/>
            <w:bottom w:w="0" w:type="dxa"/>
            <w:right w:w="108" w:type="dxa"/>
          </w:tblCellMar>
        </w:tblPrEx>
        <w:trPr>
          <w:trHeight w:val="968" w:hRule="exact"/>
          <w:tblHeade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2"/>
              </w:rPr>
            </w:pPr>
          </w:p>
        </w:tc>
        <w:tc>
          <w:tcPr>
            <w:tcW w:w="592" w:type="pct"/>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宋体"/>
                <w:bCs/>
              </w:rPr>
            </w:pPr>
            <w:r>
              <w:rPr>
                <w:rFonts w:hint="eastAsia" w:ascii="宋体" w:hAnsi="宋体" w:cs="宋体"/>
                <w:bCs/>
              </w:rPr>
              <w:t>投标</w:t>
            </w:r>
          </w:p>
          <w:p>
            <w:pPr>
              <w:widowControl/>
              <w:spacing w:line="276" w:lineRule="auto"/>
              <w:jc w:val="center"/>
              <w:rPr>
                <w:rFonts w:hint="eastAsia" w:ascii="宋体" w:hAnsi="宋体" w:cs="宋体"/>
                <w:bCs/>
              </w:rPr>
            </w:pPr>
            <w:r>
              <w:rPr>
                <w:rFonts w:hint="eastAsia" w:ascii="宋体" w:hAnsi="宋体" w:cs="宋体"/>
                <w:bCs/>
              </w:rPr>
              <w:t>供应商</w:t>
            </w:r>
          </w:p>
        </w:tc>
        <w:tc>
          <w:tcPr>
            <w:tcW w:w="594" w:type="pct"/>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宋体"/>
                <w:bCs/>
              </w:rPr>
            </w:pPr>
            <w:r>
              <w:rPr>
                <w:rFonts w:hint="eastAsia" w:ascii="宋体" w:hAnsi="宋体" w:cs="宋体"/>
                <w:bCs/>
              </w:rPr>
              <w:t>…</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2"/>
              </w:rPr>
            </w:pPr>
          </w:p>
        </w:tc>
      </w:tr>
      <w:tr>
        <w:tblPrEx>
          <w:tblCellMar>
            <w:top w:w="0" w:type="dxa"/>
            <w:left w:w="108" w:type="dxa"/>
            <w:bottom w:w="0" w:type="dxa"/>
            <w:right w:w="108" w:type="dxa"/>
          </w:tblCellMar>
        </w:tblPrEx>
        <w:trPr>
          <w:trHeight w:val="675" w:hRule="atLeast"/>
          <w:jc w:val="center"/>
        </w:trPr>
        <w:tc>
          <w:tcPr>
            <w:tcW w:w="5000" w:type="pct"/>
            <w:gridSpan w:val="4"/>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一、一般资格审查</w:t>
            </w:r>
          </w:p>
        </w:tc>
      </w:tr>
      <w:tr>
        <w:tblPrEx>
          <w:tblCellMar>
            <w:top w:w="0" w:type="dxa"/>
            <w:left w:w="108" w:type="dxa"/>
            <w:bottom w:w="0" w:type="dxa"/>
            <w:right w:w="108" w:type="dxa"/>
          </w:tblCellMar>
        </w:tblPrEx>
        <w:trPr>
          <w:trHeight w:val="6231"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1.营业执照或事业单位法人证书满足招标文件要求</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cs="宋体" w:asciiTheme="minorEastAsia" w:hAnsiTheme="minorEastAsia" w:eastAsiaTheme="minorEastAsia"/>
                <w:bCs/>
              </w:rPr>
            </w:pPr>
            <w:r>
              <w:rPr>
                <w:rFonts w:hint="eastAsia" w:cs="宋体" w:asciiTheme="minorEastAsia" w:hAnsiTheme="minorEastAsia" w:eastAsiaTheme="minorEastAsia"/>
                <w:bCs/>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rPr>
              <w:t>投标供应商在资格证明文件中如有两个以上名称的，应当提供市场监管部门出具的其为同一单位书面证明材料；军队单位或事业单位，可以提供其上级主管部门出具的书面证明材料。</w:t>
            </w:r>
          </w:p>
        </w:tc>
      </w:tr>
      <w:tr>
        <w:tblPrEx>
          <w:tblCellMar>
            <w:top w:w="0" w:type="dxa"/>
            <w:left w:w="108" w:type="dxa"/>
            <w:bottom w:w="0" w:type="dxa"/>
            <w:right w:w="108" w:type="dxa"/>
          </w:tblCellMar>
        </w:tblPrEx>
        <w:trPr>
          <w:trHeight w:val="698"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2.法定代表人资格证明书</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r>
      <w:tr>
        <w:tblPrEx>
          <w:tblCellMar>
            <w:top w:w="0" w:type="dxa"/>
            <w:left w:w="108" w:type="dxa"/>
            <w:bottom w:w="0" w:type="dxa"/>
            <w:right w:w="108" w:type="dxa"/>
          </w:tblCellMar>
        </w:tblPrEx>
        <w:trPr>
          <w:trHeight w:val="1707"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3.法定代表人授权书（含授权代表在投标前4个月内（不含投标当月）连续3个月由投标供应商缴纳社保证明材料）</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r>
      <w:tr>
        <w:tblPrEx>
          <w:tblCellMar>
            <w:top w:w="0" w:type="dxa"/>
            <w:left w:w="108" w:type="dxa"/>
            <w:bottom w:w="0" w:type="dxa"/>
            <w:right w:w="108" w:type="dxa"/>
          </w:tblCellMar>
        </w:tblPrEx>
        <w:trPr>
          <w:trHeight w:val="1018"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cs="宋体"/>
                <w:bCs/>
              </w:rPr>
              <w:t>4.至申领招标文件截止</w:t>
            </w:r>
            <w:r>
              <w:rPr>
                <w:rFonts w:hint="eastAsia" w:ascii="宋体" w:hAnsi="宋体"/>
                <w:bCs/>
              </w:rPr>
              <w:t>时间</w:t>
            </w:r>
            <w:r>
              <w:rPr>
                <w:rFonts w:hint="eastAsia" w:ascii="宋体" w:hAnsi="宋体" w:cs="宋体"/>
                <w:bCs/>
              </w:rPr>
              <w:t>，供应商成立时间不少于3年</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国有企业、事业单位、军队单位除外。</w:t>
            </w:r>
          </w:p>
        </w:tc>
      </w:tr>
      <w:tr>
        <w:tblPrEx>
          <w:tblCellMar>
            <w:top w:w="0" w:type="dxa"/>
            <w:left w:w="108" w:type="dxa"/>
            <w:bottom w:w="0" w:type="dxa"/>
            <w:right w:w="108" w:type="dxa"/>
          </w:tblCellMar>
        </w:tblPrEx>
        <w:trPr>
          <w:trHeight w:val="2787"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5.供应商承诺声明</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sz w:val="21"/>
              </w:rPr>
            </w:pPr>
            <w:r>
              <w:rPr>
                <w:rFonts w:hint="eastAsia" w:ascii="宋体" w:hAnsi="宋体"/>
                <w:bCs/>
              </w:rPr>
              <w:t>承诺声明应当</w:t>
            </w:r>
            <w:r>
              <w:rPr>
                <w:rFonts w:hint="eastAsia" w:ascii="宋体" w:hAnsi="宋体" w:cs="宋体"/>
                <w:bCs/>
              </w:rPr>
              <w:t>包含：供应商诚信承诺、保密承诺、诚信责任保证金承诺、未被列入违法失信名单承诺、关联关系企业不参与采购活动承诺、前3年没有重大违法记录的书面声明、没有发生过重大质量安全事故的书面声明、非外资独资企业或控股企业的书面声明、具备履约专业能力的书面声明。</w:t>
            </w:r>
          </w:p>
        </w:tc>
      </w:tr>
      <w:tr>
        <w:tblPrEx>
          <w:tblCellMar>
            <w:top w:w="0" w:type="dxa"/>
            <w:left w:w="108" w:type="dxa"/>
            <w:bottom w:w="0" w:type="dxa"/>
            <w:right w:w="108" w:type="dxa"/>
          </w:tblCellMar>
        </w:tblPrEx>
        <w:trPr>
          <w:trHeight w:val="2131"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ascii="宋体" w:hAnsi="宋体"/>
                <w:bCs/>
              </w:rPr>
            </w:pPr>
            <w:r>
              <w:rPr>
                <w:rFonts w:hint="eastAsia" w:ascii="宋体" w:hAnsi="宋体"/>
                <w:bCs/>
              </w:rPr>
              <w:t>6.投标供应商近一年内（投标截止时间前）任意6个月纳税证明材料</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根据税务部门出具的完税凭证或纳税的银行转账汇款单、对账单等判定，证明材料应当显示税种和缴纳所属时期（</w:t>
            </w:r>
            <w:r>
              <w:rPr>
                <w:rFonts w:hint="eastAsia" w:ascii="宋体" w:hAnsi="宋体" w:cs="宋体"/>
                <w:b/>
              </w:rPr>
              <w:t>认定税种不包括个人所得税</w:t>
            </w:r>
            <w:r>
              <w:rPr>
                <w:rFonts w:hint="eastAsia" w:ascii="宋体" w:hAnsi="宋体" w:cs="宋体"/>
                <w:bCs/>
              </w:rPr>
              <w:t>）；军队单位不作要求；如依法免税或不需要纳税的，提供相应证明材料。</w:t>
            </w:r>
          </w:p>
        </w:tc>
      </w:tr>
      <w:tr>
        <w:tblPrEx>
          <w:tblCellMar>
            <w:top w:w="0" w:type="dxa"/>
            <w:left w:w="108" w:type="dxa"/>
            <w:bottom w:w="0" w:type="dxa"/>
            <w:right w:w="108" w:type="dxa"/>
          </w:tblCellMar>
        </w:tblPrEx>
        <w:trPr>
          <w:trHeight w:val="2545"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7.投标供应商近一年内（投标截止时间前）任意6个月缴纳社会保障金证明材料</w:t>
            </w:r>
          </w:p>
        </w:tc>
        <w:tc>
          <w:tcPr>
            <w:tcW w:w="592" w:type="pct"/>
            <w:tcBorders>
              <w:top w:val="nil"/>
              <w:left w:val="nil"/>
              <w:bottom w:val="single" w:color="auto" w:sz="4" w:space="0"/>
              <w:right w:val="single" w:color="auto" w:sz="4" w:space="0"/>
            </w:tcBorders>
            <w:vAlign w:val="center"/>
          </w:tcPr>
          <w:p>
            <w:pPr>
              <w:spacing w:line="276" w:lineRule="auto"/>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tblPrEx>
          <w:tblCellMar>
            <w:top w:w="0" w:type="dxa"/>
            <w:left w:w="108" w:type="dxa"/>
            <w:bottom w:w="0" w:type="dxa"/>
            <w:right w:w="108" w:type="dxa"/>
          </w:tblCellMar>
        </w:tblPrEx>
        <w:trPr>
          <w:trHeight w:val="4502" w:hRule="exact"/>
          <w:jc w:val="center"/>
        </w:trPr>
        <w:tc>
          <w:tcPr>
            <w:tcW w:w="1666" w:type="pc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8.投标供应商提供会计师事务所出具的近3年审计报告</w:t>
            </w:r>
          </w:p>
        </w:tc>
        <w:tc>
          <w:tcPr>
            <w:tcW w:w="592" w:type="pct"/>
            <w:tcBorders>
              <w:top w:val="single" w:color="auto" w:sz="4" w:space="0"/>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single" w:color="auto" w:sz="4" w:space="0"/>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single" w:color="auto" w:sz="4" w:space="0"/>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军队单位、事业单位和国有企业成立不足3年的，按实际年限提供。</w:t>
            </w:r>
          </w:p>
        </w:tc>
      </w:tr>
      <w:tr>
        <w:tblPrEx>
          <w:tblCellMar>
            <w:top w:w="0" w:type="dxa"/>
            <w:left w:w="108" w:type="dxa"/>
            <w:bottom w:w="0" w:type="dxa"/>
            <w:right w:w="108" w:type="dxa"/>
          </w:tblCellMar>
        </w:tblPrEx>
        <w:trPr>
          <w:trHeight w:val="696"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9.投标保证金满足招标文件要求</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根据投标截止后采购机构现场公布投标保证金缴纳情况判定</w:t>
            </w:r>
          </w:p>
        </w:tc>
      </w:tr>
      <w:tr>
        <w:tblPrEx>
          <w:tblCellMar>
            <w:top w:w="0" w:type="dxa"/>
            <w:left w:w="108" w:type="dxa"/>
            <w:bottom w:w="0" w:type="dxa"/>
            <w:right w:w="108" w:type="dxa"/>
          </w:tblCellMar>
        </w:tblPrEx>
        <w:trPr>
          <w:trHeight w:val="423" w:hRule="exact"/>
          <w:jc w:val="center"/>
        </w:trPr>
        <w:tc>
          <w:tcPr>
            <w:tcW w:w="1666" w:type="pct"/>
            <w:tcBorders>
              <w:top w:val="nil"/>
              <w:left w:val="single" w:color="auto" w:sz="4" w:space="0"/>
              <w:bottom w:val="single" w:color="auto" w:sz="4" w:space="0"/>
              <w:right w:val="single" w:color="auto" w:sz="4" w:space="0"/>
            </w:tcBorders>
            <w:vAlign w:val="center"/>
          </w:tcPr>
          <w:p>
            <w:pPr>
              <w:spacing w:line="276" w:lineRule="auto"/>
              <w:rPr>
                <w:rFonts w:hint="eastAsia" w:ascii="宋体" w:hAnsi="宋体"/>
                <w:bCs/>
              </w:rPr>
            </w:pPr>
            <w:r>
              <w:rPr>
                <w:rFonts w:hint="eastAsia" w:ascii="宋体" w:hAnsi="宋体"/>
                <w:bCs/>
              </w:rPr>
              <w:t>10.密封满足招标文件要求</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2146"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r>
      <w:tr>
        <w:tblPrEx>
          <w:tblCellMar>
            <w:top w:w="0" w:type="dxa"/>
            <w:left w:w="108" w:type="dxa"/>
            <w:bottom w:w="0" w:type="dxa"/>
            <w:right w:w="108" w:type="dxa"/>
          </w:tblCellMar>
        </w:tblPrEx>
        <w:trPr>
          <w:trHeight w:val="428" w:hRule="atLeast"/>
          <w:jc w:val="center"/>
        </w:trPr>
        <w:tc>
          <w:tcPr>
            <w:tcW w:w="5000" w:type="pct"/>
            <w:gridSpan w:val="4"/>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二、特定资格审查</w:t>
            </w:r>
          </w:p>
        </w:tc>
      </w:tr>
      <w:tr>
        <w:tblPrEx>
          <w:tblCellMar>
            <w:top w:w="0" w:type="dxa"/>
            <w:left w:w="108" w:type="dxa"/>
            <w:bottom w:w="0" w:type="dxa"/>
            <w:right w:w="108" w:type="dxa"/>
          </w:tblCellMar>
        </w:tblPrEx>
        <w:trPr>
          <w:trHeight w:val="8951" w:hRule="exact"/>
          <w:jc w:val="center"/>
        </w:trPr>
        <w:tc>
          <w:tcPr>
            <w:tcW w:w="1666" w:type="pct"/>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bCs/>
                <w:highlight w:val="yellow"/>
              </w:rPr>
            </w:pPr>
            <w:r>
              <w:rPr>
                <w:rFonts w:hint="eastAsia" w:ascii="宋体" w:hAnsi="宋体"/>
                <w:bCs/>
                <w:highlight w:val="none"/>
              </w:rPr>
              <w:t>1.所投产品属于第二类医疗器械的，还需提供有效的行政主管部门颁发的医疗器械经营备案凭证或医疗器械经营（生产）许可证，经营范围需包含本次项目的内容；所投产品属于第三类医疗器械的，还需提供有效的行政主管部门颁发的医疗器械经营（生产）许可证，经营范围需包含本次项目的内容</w:t>
            </w:r>
            <w:r>
              <w:rPr>
                <w:rFonts w:hint="eastAsia" w:ascii="宋体" w:hAnsi="宋体"/>
                <w:bCs/>
                <w:highlight w:val="none"/>
                <w:lang w:eastAsia="zh-CN"/>
              </w:rPr>
              <w:t>，（注：所投标包如涉须提供）</w:t>
            </w:r>
            <w:r>
              <w:rPr>
                <w:rFonts w:hint="eastAsia" w:ascii="宋体" w:hAnsi="宋体"/>
                <w:bCs/>
                <w:highlight w:val="none"/>
              </w:rPr>
              <w:t>。2. 报价供应商所投产品须具备医疗器械注册证</w:t>
            </w:r>
            <w:r>
              <w:rPr>
                <w:rFonts w:hint="eastAsia" w:ascii="宋体" w:hAnsi="宋体"/>
                <w:bCs/>
                <w:highlight w:val="none"/>
                <w:lang w:eastAsia="zh-CN"/>
              </w:rPr>
              <w:t>，（注：所投标包如涉须提供）</w:t>
            </w:r>
            <w:r>
              <w:rPr>
                <w:rFonts w:hint="eastAsia" w:ascii="宋体" w:hAnsi="宋体"/>
                <w:bCs/>
                <w:highlight w:val="none"/>
              </w:rPr>
              <w:t>。3. 报价产品若为进口产品时报价供应商须提供厂家或中国总代针对本项目所投产品的授权证明文件（如为中国总代出具的授权证明文件，须有总代与厂家关系的文件）</w:t>
            </w:r>
            <w:r>
              <w:rPr>
                <w:rFonts w:hint="eastAsia" w:ascii="宋体" w:hAnsi="宋体"/>
                <w:bCs/>
                <w:highlight w:val="none"/>
                <w:lang w:eastAsia="zh-CN"/>
              </w:rPr>
              <w:t>，（注：所投标包如涉须提供）</w:t>
            </w:r>
            <w:r>
              <w:rPr>
                <w:rFonts w:hint="eastAsia" w:ascii="宋体" w:hAnsi="宋体"/>
                <w:bCs/>
                <w:highlight w:val="none"/>
              </w:rPr>
              <w:t>。</w:t>
            </w:r>
          </w:p>
        </w:tc>
        <w:tc>
          <w:tcPr>
            <w:tcW w:w="592"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highlight w:val="yellow"/>
              </w:rPr>
            </w:pPr>
          </w:p>
        </w:tc>
        <w:tc>
          <w:tcPr>
            <w:tcW w:w="594" w:type="pct"/>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highlight w:val="yellow"/>
              </w:rPr>
            </w:pPr>
          </w:p>
        </w:tc>
        <w:tc>
          <w:tcPr>
            <w:tcW w:w="2146" w:type="pct"/>
            <w:tcBorders>
              <w:top w:val="nil"/>
              <w:left w:val="nil"/>
              <w:bottom w:val="nil"/>
              <w:right w:val="single" w:color="auto" w:sz="4" w:space="0"/>
            </w:tcBorders>
            <w:vAlign w:val="center"/>
          </w:tcPr>
          <w:p>
            <w:pPr>
              <w:spacing w:line="276" w:lineRule="auto"/>
              <w:jc w:val="left"/>
              <w:rPr>
                <w:rFonts w:hint="eastAsia" w:ascii="宋体" w:hAnsi="宋体" w:cs="宋体"/>
                <w:bCs/>
                <w:highlight w:val="yellow"/>
              </w:rPr>
            </w:pPr>
            <w:r>
              <w:rPr>
                <w:rFonts w:hint="eastAsia" w:ascii="宋体" w:hAnsi="宋体" w:cs="宋体"/>
                <w:bCs/>
              </w:rPr>
              <w:t>根据特定资格证明材料判定</w:t>
            </w:r>
          </w:p>
        </w:tc>
      </w:tr>
      <w:tr>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pPr>
              <w:widowControl/>
              <w:spacing w:line="276" w:lineRule="auto"/>
              <w:jc w:val="left"/>
              <w:rPr>
                <w:rFonts w:hint="eastAsia" w:ascii="宋体" w:hAnsi="宋体" w:cs="宋体"/>
                <w:bCs/>
              </w:rPr>
            </w:pPr>
            <w:r>
              <w:rPr>
                <w:rFonts w:hint="eastAsia" w:ascii="宋体" w:hAnsi="宋体" w:cs="宋体"/>
                <w:bCs/>
              </w:rPr>
              <w:t>说明：1.合格打“√”</w:t>
            </w:r>
            <w:r>
              <w:rPr>
                <w:rFonts w:hint="eastAsia" w:ascii="宋体" w:hAnsi="宋体"/>
                <w:bCs/>
                <w:sz w:val="28"/>
                <w:szCs w:val="28"/>
              </w:rPr>
              <w:t>，</w:t>
            </w:r>
            <w:r>
              <w:rPr>
                <w:rFonts w:hint="eastAsia" w:ascii="宋体" w:hAnsi="宋体" w:cs="宋体"/>
                <w:bCs/>
              </w:rPr>
              <w:t>不合格打“×”。</w:t>
            </w:r>
          </w:p>
          <w:p>
            <w:pPr>
              <w:widowControl/>
              <w:spacing w:line="276" w:lineRule="auto"/>
              <w:ind w:firstLine="720" w:firstLineChars="300"/>
              <w:jc w:val="left"/>
              <w:rPr>
                <w:rFonts w:hint="eastAsia" w:ascii="宋体" w:hAnsi="宋体" w:cs="宋体"/>
                <w:bCs/>
              </w:rPr>
            </w:pPr>
            <w:r>
              <w:rPr>
                <w:rFonts w:hint="eastAsia" w:ascii="宋体" w:hAnsi="宋体" w:cs="宋体"/>
                <w:bCs/>
              </w:rPr>
              <w:t>2.有一项内容不合格的，综合评定为不合格。</w:t>
            </w:r>
          </w:p>
        </w:tc>
      </w:tr>
    </w:tbl>
    <w:p>
      <w:pPr>
        <w:spacing w:line="560" w:lineRule="exact"/>
        <w:rPr>
          <w:rFonts w:hint="eastAsia"/>
          <w:bCs/>
          <w:kern w:val="2"/>
          <w:sz w:val="28"/>
          <w:szCs w:val="28"/>
        </w:rPr>
      </w:pPr>
      <w:r>
        <w:rPr>
          <w:rFonts w:hint="eastAsia"/>
          <w:bCs/>
          <w:sz w:val="28"/>
          <w:szCs w:val="28"/>
        </w:rPr>
        <w:t>审查人员签名：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p>
      <w:pPr>
        <w:ind w:firstLine="480" w:firstLineChars="200"/>
        <w:rPr>
          <w:bCs/>
          <w:sz w:val="21"/>
          <w:szCs w:val="21"/>
        </w:rPr>
      </w:pPr>
      <w:r>
        <w:rPr>
          <w:bCs/>
          <w:szCs w:val="21"/>
        </w:rPr>
        <w:br w:type="page"/>
      </w:r>
    </w:p>
    <w:p>
      <w:pPr>
        <w:pStyle w:val="7"/>
        <w:numPr>
          <w:ilvl w:val="2"/>
          <w:numId w:val="0"/>
        </w:numPr>
        <w:tabs>
          <w:tab w:val="clear" w:pos="1820"/>
        </w:tabs>
        <w:spacing w:before="120" w:beforeLines="50" w:after="120" w:afterLines="50" w:line="560" w:lineRule="exact"/>
        <w:ind w:leftChars="0"/>
        <w:rPr>
          <w:rFonts w:ascii="黑体" w:hAnsi="黑体"/>
          <w:b w:val="0"/>
          <w:sz w:val="28"/>
          <w:szCs w:val="28"/>
        </w:rPr>
      </w:pPr>
      <w:bookmarkStart w:id="446" w:name="_Toc17115"/>
      <w:bookmarkStart w:id="447" w:name="_Toc130657985"/>
      <w:bookmarkStart w:id="448" w:name="_Toc128150771"/>
      <w:bookmarkStart w:id="449" w:name="_Toc128150127"/>
      <w:bookmarkStart w:id="450" w:name="_Toc127820557"/>
      <w:bookmarkStart w:id="451" w:name="_Toc130886992"/>
      <w:bookmarkStart w:id="452" w:name="_Toc128151020"/>
      <w:bookmarkStart w:id="453" w:name="_Toc128397963"/>
      <w:bookmarkStart w:id="454" w:name="_Toc132190627"/>
      <w:bookmarkStart w:id="455" w:name="_Toc130657531"/>
      <w:bookmarkStart w:id="456" w:name="_Toc130887493"/>
      <w:r>
        <w:rPr>
          <w:rFonts w:hint="eastAsia" w:ascii="黑体" w:hAnsi="黑体"/>
          <w:b w:val="0"/>
          <w:sz w:val="28"/>
          <w:szCs w:val="28"/>
        </w:rPr>
        <w:t>附表2 符合性审查表</w:t>
      </w:r>
      <w:bookmarkEnd w:id="446"/>
      <w:bookmarkEnd w:id="447"/>
      <w:bookmarkEnd w:id="448"/>
      <w:bookmarkEnd w:id="449"/>
      <w:bookmarkEnd w:id="450"/>
      <w:bookmarkEnd w:id="451"/>
      <w:bookmarkEnd w:id="452"/>
      <w:bookmarkEnd w:id="453"/>
      <w:bookmarkEnd w:id="454"/>
      <w:bookmarkEnd w:id="455"/>
      <w:bookmarkEnd w:id="456"/>
    </w:p>
    <w:p>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符合性审查表</w:t>
      </w:r>
    </w:p>
    <w:p>
      <w:pPr>
        <w:spacing w:line="560" w:lineRule="exact"/>
        <w:rPr>
          <w:rFonts w:hint="eastAsia"/>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5"/>
        <w:tblW w:w="9435" w:type="dxa"/>
        <w:jc w:val="center"/>
        <w:tblLayout w:type="fixed"/>
        <w:tblCellMar>
          <w:top w:w="0" w:type="dxa"/>
          <w:left w:w="108" w:type="dxa"/>
          <w:bottom w:w="0" w:type="dxa"/>
          <w:right w:w="108" w:type="dxa"/>
        </w:tblCellMar>
      </w:tblPr>
      <w:tblGrid>
        <w:gridCol w:w="3869"/>
        <w:gridCol w:w="1108"/>
        <w:gridCol w:w="1134"/>
        <w:gridCol w:w="3324"/>
      </w:tblGrid>
      <w:tr>
        <w:tblPrEx>
          <w:tblCellMar>
            <w:top w:w="0" w:type="dxa"/>
            <w:left w:w="108" w:type="dxa"/>
            <w:bottom w:w="0" w:type="dxa"/>
            <w:right w:w="108" w:type="dxa"/>
          </w:tblCellMar>
        </w:tblPrEx>
        <w:trPr>
          <w:trHeight w:val="356" w:hRule="atLeast"/>
          <w:jc w:val="center"/>
        </w:trPr>
        <w:tc>
          <w:tcPr>
            <w:tcW w:w="38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Cs/>
              </w:rPr>
            </w:pPr>
            <w:r>
              <w:rPr>
                <w:rFonts w:hint="eastAsia" w:ascii="宋体" w:hAnsi="宋体" w:cs="宋体"/>
                <w:bCs/>
              </w:rPr>
              <w:t>审查项目</w:t>
            </w:r>
          </w:p>
        </w:tc>
        <w:tc>
          <w:tcPr>
            <w:tcW w:w="2242" w:type="dxa"/>
            <w:gridSpan w:val="2"/>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cs="宋体"/>
                <w:bCs/>
              </w:rPr>
            </w:pPr>
            <w:r>
              <w:rPr>
                <w:rFonts w:hint="eastAsia" w:ascii="宋体" w:hAnsi="宋体" w:cs="宋体"/>
                <w:bCs/>
              </w:rPr>
              <w:t>是否合格</w:t>
            </w:r>
          </w:p>
        </w:tc>
        <w:tc>
          <w:tcPr>
            <w:tcW w:w="3324" w:type="dxa"/>
            <w:vMerge w:val="restart"/>
            <w:tcBorders>
              <w:top w:val="single" w:color="auto" w:sz="4" w:space="0"/>
              <w:left w:val="nil"/>
              <w:bottom w:val="single" w:color="auto" w:sz="4" w:space="0"/>
              <w:right w:val="single" w:color="auto" w:sz="4" w:space="0"/>
            </w:tcBorders>
            <w:vAlign w:val="center"/>
          </w:tcPr>
          <w:p>
            <w:pPr>
              <w:spacing w:line="276" w:lineRule="auto"/>
              <w:jc w:val="center"/>
              <w:rPr>
                <w:rFonts w:hint="eastAsia" w:ascii="宋体" w:hAnsi="宋体" w:cs="宋体"/>
                <w:bCs/>
              </w:rPr>
            </w:pPr>
            <w:r>
              <w:rPr>
                <w:rFonts w:hint="eastAsia" w:ascii="宋体" w:hAnsi="宋体" w:cs="宋体"/>
                <w:bCs/>
              </w:rPr>
              <w:t>具体要求</w:t>
            </w:r>
          </w:p>
        </w:tc>
      </w:tr>
      <w:tr>
        <w:tblPrEx>
          <w:tblCellMar>
            <w:top w:w="0" w:type="dxa"/>
            <w:left w:w="108" w:type="dxa"/>
            <w:bottom w:w="0" w:type="dxa"/>
            <w:right w:w="108" w:type="dxa"/>
          </w:tblCellMar>
        </w:tblPrEx>
        <w:trPr>
          <w:trHeight w:val="734" w:hRule="exact"/>
          <w:jc w:val="center"/>
        </w:trPr>
        <w:tc>
          <w:tcPr>
            <w:tcW w:w="9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2"/>
              </w:rPr>
            </w:pPr>
          </w:p>
        </w:tc>
        <w:tc>
          <w:tcPr>
            <w:tcW w:w="1108" w:type="dxa"/>
            <w:tcBorders>
              <w:top w:val="nil"/>
              <w:left w:val="nil"/>
              <w:bottom w:val="single" w:color="auto" w:sz="4" w:space="0"/>
              <w:right w:val="single" w:color="auto" w:sz="4" w:space="0"/>
            </w:tcBorders>
            <w:vAlign w:val="center"/>
          </w:tcPr>
          <w:p>
            <w:pPr>
              <w:widowControl/>
              <w:jc w:val="center"/>
              <w:rPr>
                <w:rFonts w:hint="eastAsia" w:ascii="宋体" w:hAnsi="宋体" w:cs="宋体"/>
                <w:bCs/>
              </w:rPr>
            </w:pPr>
            <w:r>
              <w:rPr>
                <w:rFonts w:hint="eastAsia" w:ascii="宋体" w:hAnsi="宋体" w:cs="宋体"/>
                <w:bCs/>
              </w:rPr>
              <w:t>投标</w:t>
            </w:r>
          </w:p>
          <w:p>
            <w:pPr>
              <w:widowControl/>
              <w:jc w:val="center"/>
              <w:rPr>
                <w:rFonts w:hint="eastAsia" w:ascii="宋体" w:hAnsi="宋体" w:cs="宋体"/>
                <w:bCs/>
              </w:rPr>
            </w:pPr>
            <w:r>
              <w:rPr>
                <w:rFonts w:hint="eastAsia" w:ascii="宋体" w:hAnsi="宋体" w:cs="宋体"/>
                <w:bCs/>
              </w:rPr>
              <w:t>供应商</w:t>
            </w:r>
          </w:p>
        </w:tc>
        <w:tc>
          <w:tcPr>
            <w:tcW w:w="1134"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宋体"/>
                <w:bCs/>
              </w:rPr>
            </w:pPr>
            <w:r>
              <w:rPr>
                <w:rFonts w:hint="eastAsia" w:ascii="宋体" w:hAnsi="宋体" w:cs="宋体"/>
                <w:bCs/>
              </w:rPr>
              <w:t>…</w:t>
            </w:r>
          </w:p>
        </w:tc>
        <w:tc>
          <w:tcPr>
            <w:tcW w:w="332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2"/>
              </w:rPr>
            </w:pPr>
          </w:p>
        </w:tc>
      </w:tr>
      <w:tr>
        <w:tblPrEx>
          <w:tblCellMar>
            <w:top w:w="0" w:type="dxa"/>
            <w:left w:w="108" w:type="dxa"/>
            <w:bottom w:w="0" w:type="dxa"/>
            <w:right w:w="108" w:type="dxa"/>
          </w:tblCellMar>
        </w:tblPrEx>
        <w:trPr>
          <w:trHeight w:val="2654" w:hRule="exact"/>
          <w:jc w:val="center"/>
        </w:trPr>
        <w:tc>
          <w:tcPr>
            <w:tcW w:w="3869" w:type="dxa"/>
            <w:tcBorders>
              <w:top w:val="nil"/>
              <w:left w:val="single" w:color="auto" w:sz="4" w:space="0"/>
              <w:bottom w:val="single" w:color="auto" w:sz="4" w:space="0"/>
              <w:right w:val="single" w:color="auto" w:sz="4" w:space="0"/>
            </w:tcBorders>
            <w:vAlign w:val="center"/>
          </w:tcPr>
          <w:p>
            <w:pPr>
              <w:spacing w:line="276" w:lineRule="auto"/>
              <w:jc w:val="left"/>
              <w:rPr>
                <w:rFonts w:hint="eastAsia" w:ascii="宋体" w:hAnsi="宋体"/>
                <w:bCs/>
              </w:rPr>
            </w:pPr>
            <w:r>
              <w:rPr>
                <w:rFonts w:hint="eastAsia" w:ascii="宋体" w:hAnsi="宋体"/>
                <w:bCs/>
              </w:rPr>
              <w:t>1.投标文件签字、盖章齐全完整</w:t>
            </w:r>
          </w:p>
        </w:tc>
        <w:tc>
          <w:tcPr>
            <w:tcW w:w="1108"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113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332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投标文件需要签字处，法定代表人应当签字或盖章（签名章和方章均可），投标授权代表应当签字。</w:t>
            </w:r>
          </w:p>
          <w:p>
            <w:pPr>
              <w:pStyle w:val="20"/>
              <w:rPr>
                <w:rFonts w:hint="eastAsia"/>
                <w:sz w:val="24"/>
              </w:rPr>
            </w:pPr>
            <w:r>
              <w:rPr>
                <w:rFonts w:hint="eastAsia"/>
                <w:sz w:val="24"/>
              </w:rPr>
              <w:t>符合招标文件通用文件第</w:t>
            </w:r>
            <w:r>
              <w:rPr>
                <w:sz w:val="24"/>
              </w:rPr>
              <w:t>37</w:t>
            </w:r>
            <w:r>
              <w:rPr>
                <w:rFonts w:hint="eastAsia"/>
                <w:sz w:val="24"/>
              </w:rPr>
              <w:t>条通过资格性、符合性审查的特殊情形的，应当通过审查。</w:t>
            </w:r>
          </w:p>
        </w:tc>
      </w:tr>
      <w:tr>
        <w:tblPrEx>
          <w:tblCellMar>
            <w:top w:w="0" w:type="dxa"/>
            <w:left w:w="108" w:type="dxa"/>
            <w:bottom w:w="0" w:type="dxa"/>
            <w:right w:w="108" w:type="dxa"/>
          </w:tblCellMar>
        </w:tblPrEx>
        <w:trPr>
          <w:trHeight w:val="918" w:hRule="exact"/>
          <w:jc w:val="center"/>
        </w:trPr>
        <w:tc>
          <w:tcPr>
            <w:tcW w:w="3869" w:type="dxa"/>
            <w:tcBorders>
              <w:top w:val="nil"/>
              <w:left w:val="single" w:color="auto" w:sz="4" w:space="0"/>
              <w:bottom w:val="single" w:color="auto" w:sz="4" w:space="0"/>
              <w:right w:val="single" w:color="auto" w:sz="4" w:space="0"/>
            </w:tcBorders>
            <w:vAlign w:val="center"/>
          </w:tcPr>
          <w:p>
            <w:pPr>
              <w:spacing w:line="276" w:lineRule="auto"/>
              <w:jc w:val="left"/>
              <w:rPr>
                <w:rFonts w:ascii="宋体" w:hAnsi="宋体"/>
                <w:bCs/>
              </w:rPr>
            </w:pPr>
            <w:r>
              <w:rPr>
                <w:rFonts w:hint="eastAsia" w:ascii="宋体" w:hAnsi="宋体"/>
                <w:bCs/>
              </w:rPr>
              <w:t>2.投标有效期满足招标文件要求</w:t>
            </w:r>
          </w:p>
        </w:tc>
        <w:tc>
          <w:tcPr>
            <w:tcW w:w="1108"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113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332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r>
      <w:tr>
        <w:tblPrEx>
          <w:tblCellMar>
            <w:top w:w="0" w:type="dxa"/>
            <w:left w:w="108" w:type="dxa"/>
            <w:bottom w:w="0" w:type="dxa"/>
            <w:right w:w="108" w:type="dxa"/>
          </w:tblCellMar>
        </w:tblPrEx>
        <w:trPr>
          <w:trHeight w:val="1629" w:hRule="exact"/>
          <w:jc w:val="center"/>
        </w:trPr>
        <w:tc>
          <w:tcPr>
            <w:tcW w:w="3869" w:type="dxa"/>
            <w:tcBorders>
              <w:top w:val="nil"/>
              <w:left w:val="single" w:color="auto" w:sz="4" w:space="0"/>
              <w:bottom w:val="single" w:color="auto" w:sz="4" w:space="0"/>
              <w:right w:val="single" w:color="auto" w:sz="4" w:space="0"/>
            </w:tcBorders>
            <w:vAlign w:val="center"/>
          </w:tcPr>
          <w:p>
            <w:pPr>
              <w:spacing w:line="276" w:lineRule="auto"/>
              <w:jc w:val="left"/>
              <w:rPr>
                <w:rFonts w:hint="eastAsia" w:ascii="宋体" w:hAnsi="宋体"/>
                <w:bCs/>
              </w:rPr>
            </w:pPr>
            <w:r>
              <w:rPr>
                <w:rFonts w:hint="eastAsia" w:ascii="宋体" w:hAnsi="宋体"/>
                <w:bCs/>
              </w:rPr>
              <w:t>3.</w:t>
            </w:r>
            <w:r>
              <w:rPr>
                <w:rFonts w:hint="eastAsia" w:hAnsi="仿宋_GB2312" w:cs="仿宋_GB2312"/>
                <w:bCs/>
              </w:rPr>
              <w:t>商务要求中“★”号商务条款满足招标文件要求</w:t>
            </w:r>
          </w:p>
        </w:tc>
        <w:tc>
          <w:tcPr>
            <w:tcW w:w="1108"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113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332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r>
              <w:rPr>
                <w:rFonts w:hint="eastAsia" w:ascii="宋体" w:hAnsi="宋体" w:cs="宋体"/>
                <w:bCs/>
              </w:rPr>
              <w:t>商务评委对投标供应商响应招标文件第六章“采购项目商务要求”中的“★”号条款情况作出判定</w:t>
            </w:r>
          </w:p>
        </w:tc>
      </w:tr>
      <w:tr>
        <w:tblPrEx>
          <w:tblCellMar>
            <w:top w:w="0" w:type="dxa"/>
            <w:left w:w="108" w:type="dxa"/>
            <w:bottom w:w="0" w:type="dxa"/>
            <w:right w:w="108" w:type="dxa"/>
          </w:tblCellMar>
        </w:tblPrEx>
        <w:trPr>
          <w:trHeight w:val="1708" w:hRule="exact"/>
          <w:jc w:val="center"/>
        </w:trPr>
        <w:tc>
          <w:tcPr>
            <w:tcW w:w="3869" w:type="dxa"/>
            <w:tcBorders>
              <w:top w:val="nil"/>
              <w:left w:val="single" w:color="auto" w:sz="4" w:space="0"/>
              <w:bottom w:val="single" w:color="auto" w:sz="4" w:space="0"/>
              <w:right w:val="single" w:color="auto" w:sz="4" w:space="0"/>
            </w:tcBorders>
            <w:vAlign w:val="center"/>
          </w:tcPr>
          <w:p>
            <w:pPr>
              <w:spacing w:line="276" w:lineRule="auto"/>
              <w:jc w:val="left"/>
              <w:rPr>
                <w:rFonts w:hint="eastAsia" w:ascii="宋体" w:hAnsi="宋体"/>
                <w:bCs/>
              </w:rPr>
            </w:pPr>
            <w:r>
              <w:rPr>
                <w:rFonts w:hint="eastAsia" w:ascii="宋体" w:hAnsi="宋体"/>
                <w:bCs/>
              </w:rPr>
              <w:t>4.技术要求中“★”号技术条款满足招标文件要求</w:t>
            </w:r>
          </w:p>
        </w:tc>
        <w:tc>
          <w:tcPr>
            <w:tcW w:w="1108"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113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332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技术评委对投标供应商响应招标文件第六章“采购项目技术要求”中的“★”号条款情况作出判定</w:t>
            </w:r>
          </w:p>
        </w:tc>
      </w:tr>
      <w:tr>
        <w:tblPrEx>
          <w:tblCellMar>
            <w:top w:w="0" w:type="dxa"/>
            <w:left w:w="108" w:type="dxa"/>
            <w:bottom w:w="0" w:type="dxa"/>
            <w:right w:w="108" w:type="dxa"/>
          </w:tblCellMar>
        </w:tblPrEx>
        <w:trPr>
          <w:trHeight w:val="1265" w:hRule="exact"/>
          <w:jc w:val="center"/>
        </w:trPr>
        <w:tc>
          <w:tcPr>
            <w:tcW w:w="3869" w:type="dxa"/>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bCs/>
              </w:rPr>
              <w:t>5.其他实质性内容满足招标文件要求（无招标文件中明确的其他无效投标情形）</w:t>
            </w:r>
          </w:p>
        </w:tc>
        <w:tc>
          <w:tcPr>
            <w:tcW w:w="1108"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113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332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r>
      <w:tr>
        <w:tblPrEx>
          <w:tblCellMar>
            <w:top w:w="0" w:type="dxa"/>
            <w:left w:w="108" w:type="dxa"/>
            <w:bottom w:w="0" w:type="dxa"/>
            <w:right w:w="108" w:type="dxa"/>
          </w:tblCellMar>
        </w:tblPrEx>
        <w:trPr>
          <w:trHeight w:val="648" w:hRule="exact"/>
          <w:jc w:val="center"/>
        </w:trPr>
        <w:tc>
          <w:tcPr>
            <w:tcW w:w="3869" w:type="dxa"/>
            <w:tcBorders>
              <w:top w:val="nil"/>
              <w:left w:val="single" w:color="auto" w:sz="4" w:space="0"/>
              <w:bottom w:val="single" w:color="auto" w:sz="4" w:space="0"/>
              <w:right w:val="single" w:color="auto" w:sz="4" w:space="0"/>
            </w:tcBorders>
            <w:vAlign w:val="center"/>
          </w:tcPr>
          <w:p>
            <w:pPr>
              <w:widowControl/>
              <w:spacing w:line="276" w:lineRule="auto"/>
              <w:jc w:val="left"/>
              <w:rPr>
                <w:rFonts w:hint="eastAsia" w:ascii="宋体" w:hAnsi="宋体" w:cs="宋体"/>
                <w:bCs/>
              </w:rPr>
            </w:pPr>
            <w:r>
              <w:rPr>
                <w:rFonts w:hint="eastAsia" w:ascii="宋体" w:hAnsi="宋体" w:cs="宋体"/>
                <w:bCs/>
              </w:rPr>
              <w:t>综合评定</w:t>
            </w:r>
          </w:p>
        </w:tc>
        <w:tc>
          <w:tcPr>
            <w:tcW w:w="1108"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bCs/>
              </w:rPr>
            </w:pPr>
          </w:p>
        </w:tc>
        <w:tc>
          <w:tcPr>
            <w:tcW w:w="113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c>
          <w:tcPr>
            <w:tcW w:w="3324" w:type="dxa"/>
            <w:tcBorders>
              <w:top w:val="nil"/>
              <w:left w:val="nil"/>
              <w:bottom w:val="single" w:color="auto" w:sz="4" w:space="0"/>
              <w:right w:val="single" w:color="auto" w:sz="4" w:space="0"/>
            </w:tcBorders>
            <w:vAlign w:val="center"/>
          </w:tcPr>
          <w:p>
            <w:pPr>
              <w:widowControl/>
              <w:spacing w:line="276" w:lineRule="auto"/>
              <w:jc w:val="left"/>
              <w:rPr>
                <w:rFonts w:hint="eastAsia" w:ascii="宋体" w:hAnsi="宋体" w:cs="宋体"/>
                <w:bCs/>
              </w:rPr>
            </w:pPr>
          </w:p>
        </w:tc>
      </w:tr>
      <w:tr>
        <w:tblPrEx>
          <w:tblCellMar>
            <w:top w:w="0" w:type="dxa"/>
            <w:left w:w="108" w:type="dxa"/>
            <w:bottom w:w="0" w:type="dxa"/>
            <w:right w:w="108" w:type="dxa"/>
          </w:tblCellMar>
        </w:tblPrEx>
        <w:trPr>
          <w:trHeight w:val="904"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276" w:lineRule="auto"/>
              <w:jc w:val="left"/>
              <w:rPr>
                <w:rFonts w:hint="eastAsia" w:ascii="宋体" w:hAnsi="宋体" w:cs="宋体"/>
                <w:bCs/>
              </w:rPr>
            </w:pPr>
            <w:r>
              <w:rPr>
                <w:rFonts w:hint="eastAsia" w:ascii="宋体" w:hAnsi="宋体" w:cs="宋体"/>
                <w:bCs/>
              </w:rPr>
              <w:t>说明：1.合格打“√”</w:t>
            </w:r>
            <w:r>
              <w:rPr>
                <w:rFonts w:hint="eastAsia" w:ascii="宋体" w:hAnsi="宋体"/>
                <w:bCs/>
                <w:sz w:val="28"/>
                <w:szCs w:val="28"/>
              </w:rPr>
              <w:t>，</w:t>
            </w:r>
            <w:r>
              <w:rPr>
                <w:rFonts w:hint="eastAsia" w:ascii="宋体" w:hAnsi="宋体" w:cs="宋体"/>
                <w:bCs/>
              </w:rPr>
              <w:t>不合格打“×”。</w:t>
            </w:r>
          </w:p>
          <w:p>
            <w:pPr>
              <w:widowControl/>
              <w:spacing w:line="276" w:lineRule="auto"/>
              <w:ind w:firstLine="720" w:firstLineChars="300"/>
              <w:jc w:val="left"/>
              <w:rPr>
                <w:rFonts w:hint="eastAsia" w:ascii="宋体" w:hAnsi="宋体" w:cs="宋体"/>
                <w:bCs/>
              </w:rPr>
            </w:pPr>
            <w:r>
              <w:rPr>
                <w:rFonts w:hint="eastAsia" w:ascii="宋体" w:hAnsi="宋体" w:cs="宋体"/>
                <w:bCs/>
              </w:rPr>
              <w:t>2.有一项内容不合格的，综合评定为不合格。</w:t>
            </w:r>
          </w:p>
        </w:tc>
      </w:tr>
    </w:tbl>
    <w:p>
      <w:pPr>
        <w:spacing w:line="560" w:lineRule="exact"/>
        <w:rPr>
          <w:rFonts w:hint="eastAsia" w:ascii="黑体" w:hAnsi="黑体" w:eastAsia="黑体"/>
          <w:bCs/>
          <w:kern w:val="2"/>
          <w:sz w:val="28"/>
          <w:szCs w:val="28"/>
        </w:rPr>
      </w:pPr>
      <w:r>
        <w:rPr>
          <w:rFonts w:hint="eastAsia"/>
          <w:bCs/>
          <w:sz w:val="28"/>
          <w:szCs w:val="28"/>
        </w:rPr>
        <w:t>评审委员会成员签名：</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r>
        <w:rPr>
          <w:rFonts w:hint="eastAsia" w:ascii="黑体" w:hAnsi="黑体" w:eastAsia="黑体"/>
          <w:bCs/>
          <w:sz w:val="28"/>
          <w:szCs w:val="28"/>
        </w:rPr>
        <w:br w:type="page"/>
      </w:r>
    </w:p>
    <w:p>
      <w:pPr>
        <w:pStyle w:val="7"/>
        <w:numPr>
          <w:ilvl w:val="2"/>
          <w:numId w:val="0"/>
        </w:numPr>
        <w:tabs>
          <w:tab w:val="clear" w:pos="1820"/>
        </w:tabs>
        <w:spacing w:before="120" w:beforeLines="50" w:after="120" w:afterLines="50" w:line="560" w:lineRule="exact"/>
        <w:ind w:leftChars="0"/>
        <w:rPr>
          <w:rFonts w:hint="eastAsia" w:ascii="黑体" w:hAnsi="黑体" w:eastAsia="黑体"/>
          <w:b w:val="0"/>
          <w:sz w:val="28"/>
          <w:szCs w:val="28"/>
        </w:rPr>
      </w:pPr>
      <w:bookmarkStart w:id="457" w:name="_Toc128150772"/>
      <w:bookmarkStart w:id="458" w:name="_Toc130887494"/>
      <w:bookmarkStart w:id="459" w:name="_Toc130657532"/>
      <w:bookmarkStart w:id="460" w:name="_Toc130886993"/>
      <w:bookmarkStart w:id="461" w:name="_Toc127820558"/>
      <w:bookmarkStart w:id="462" w:name="_Toc128397964"/>
      <w:bookmarkStart w:id="463" w:name="_Toc128150128"/>
      <w:bookmarkStart w:id="464" w:name="_Toc22412"/>
      <w:bookmarkStart w:id="465" w:name="_Toc128151021"/>
      <w:bookmarkStart w:id="466" w:name="_Toc130657986"/>
      <w:bookmarkStart w:id="467" w:name="_Toc132190628"/>
      <w:r>
        <w:rPr>
          <w:rFonts w:hint="eastAsia" w:ascii="黑体" w:hAnsi="黑体"/>
          <w:b w:val="0"/>
          <w:sz w:val="28"/>
          <w:szCs w:val="28"/>
        </w:rPr>
        <w:t>附表3 商务评审标准表（综合评分法）</w:t>
      </w:r>
      <w:bookmarkEnd w:id="457"/>
      <w:bookmarkEnd w:id="458"/>
      <w:bookmarkEnd w:id="459"/>
      <w:bookmarkEnd w:id="460"/>
      <w:bookmarkEnd w:id="461"/>
      <w:bookmarkEnd w:id="462"/>
      <w:bookmarkEnd w:id="463"/>
      <w:bookmarkEnd w:id="464"/>
      <w:bookmarkEnd w:id="465"/>
      <w:bookmarkEnd w:id="466"/>
      <w:bookmarkEnd w:id="467"/>
    </w:p>
    <w:p>
      <w:pPr>
        <w:widowControl/>
        <w:snapToGrid w:val="0"/>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商务评审标准表（综合评分法）</w:t>
      </w:r>
    </w:p>
    <w:tbl>
      <w:tblPr>
        <w:tblStyle w:val="45"/>
        <w:tblW w:w="9390" w:type="dxa"/>
        <w:jc w:val="center"/>
        <w:tblLayout w:type="fixed"/>
        <w:tblCellMar>
          <w:top w:w="0" w:type="dxa"/>
          <w:left w:w="108" w:type="dxa"/>
          <w:bottom w:w="0" w:type="dxa"/>
          <w:right w:w="108" w:type="dxa"/>
        </w:tblCellMar>
      </w:tblPr>
      <w:tblGrid>
        <w:gridCol w:w="750"/>
        <w:gridCol w:w="988"/>
        <w:gridCol w:w="1125"/>
        <w:gridCol w:w="5387"/>
        <w:gridCol w:w="1140"/>
      </w:tblGrid>
      <w:tr>
        <w:tblPrEx>
          <w:tblCellMar>
            <w:top w:w="0" w:type="dxa"/>
            <w:left w:w="108" w:type="dxa"/>
            <w:bottom w:w="0" w:type="dxa"/>
            <w:right w:w="108" w:type="dxa"/>
          </w:tblCellMar>
        </w:tblPrEx>
        <w:trPr>
          <w:trHeight w:val="21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 w:val="21"/>
                <w:szCs w:val="21"/>
              </w:rPr>
            </w:pPr>
            <w:r>
              <w:rPr>
                <w:rFonts w:hint="eastAsia" w:ascii="宋体" w:cs="宋体"/>
                <w:b/>
                <w:bCs/>
                <w:szCs w:val="21"/>
              </w:rPr>
              <w:t>序号</w:t>
            </w:r>
          </w:p>
        </w:tc>
        <w:tc>
          <w:tcPr>
            <w:tcW w:w="21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Cs w:val="21"/>
              </w:rPr>
            </w:pPr>
            <w:r>
              <w:rPr>
                <w:rFonts w:hint="eastAsia" w:ascii="宋体" w:cs="宋体"/>
                <w:b/>
                <w:bCs/>
                <w:szCs w:val="21"/>
              </w:rPr>
              <w:t>评审项目</w:t>
            </w:r>
          </w:p>
        </w:tc>
        <w:tc>
          <w:tcPr>
            <w:tcW w:w="53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Cs w:val="21"/>
              </w:rPr>
            </w:pPr>
            <w:r>
              <w:rPr>
                <w:rFonts w:hint="eastAsia" w:ascii="宋体" w:cs="宋体"/>
                <w:b/>
                <w:bCs/>
                <w:szCs w:val="21"/>
              </w:rPr>
              <w:t>评审内容及规则</w:t>
            </w:r>
          </w:p>
        </w:tc>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Cs w:val="21"/>
              </w:rPr>
            </w:pPr>
            <w:r>
              <w:rPr>
                <w:rFonts w:hint="eastAsia" w:ascii="宋体" w:cs="宋体"/>
                <w:b/>
                <w:bCs/>
                <w:szCs w:val="21"/>
              </w:rPr>
              <w:t>标准分值</w:t>
            </w:r>
          </w:p>
        </w:tc>
      </w:tr>
      <w:tr>
        <w:tblPrEx>
          <w:tblCellMar>
            <w:top w:w="0" w:type="dxa"/>
            <w:left w:w="108" w:type="dxa"/>
            <w:bottom w:w="0" w:type="dxa"/>
            <w:right w:w="108" w:type="dxa"/>
          </w:tblCellMar>
        </w:tblPrEx>
        <w:trPr>
          <w:trHeight w:val="612" w:hRule="atLeast"/>
          <w:jc w:val="center"/>
        </w:trPr>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szCs w:val="21"/>
              </w:rPr>
            </w:pPr>
            <w:r>
              <w:rPr>
                <w:rFonts w:hint="eastAsia" w:ascii="宋体" w:cs="宋体"/>
                <w:szCs w:val="21"/>
              </w:rPr>
              <w:t>1</w:t>
            </w:r>
          </w:p>
        </w:tc>
        <w:tc>
          <w:tcPr>
            <w:tcW w:w="988" w:type="dxa"/>
            <w:vMerge w:val="restart"/>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26"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cs="宋体"/>
                <w:sz w:val="21"/>
                <w:szCs w:val="21"/>
              </w:rPr>
            </w:pPr>
            <w:r>
              <w:rPr>
                <w:rFonts w:hint="eastAsia" w:ascii="宋体"/>
                <w:szCs w:val="21"/>
              </w:rPr>
              <w:t>企业规模</w:t>
            </w:r>
          </w:p>
        </w:tc>
        <w:tc>
          <w:tcPr>
            <w:tcW w:w="5390" w:type="dxa"/>
            <w:tcBorders>
              <w:top w:val="single" w:color="auto" w:sz="4" w:space="0"/>
              <w:left w:val="nil"/>
              <w:bottom w:val="single" w:color="auto" w:sz="4" w:space="0"/>
              <w:right w:val="single" w:color="auto" w:sz="4" w:space="0"/>
            </w:tcBorders>
            <w:vAlign w:val="center"/>
          </w:tcPr>
          <w:p>
            <w:pPr>
              <w:widowControl/>
              <w:jc w:val="left"/>
              <w:rPr>
                <w:rFonts w:hint="eastAsia" w:ascii="宋体" w:cs="宋体"/>
                <w:szCs w:val="21"/>
              </w:rPr>
            </w:pPr>
            <w:r>
              <w:rPr>
                <w:rFonts w:hint="eastAsia" w:ascii="宋体" w:cs="宋体"/>
                <w:szCs w:val="21"/>
              </w:rPr>
              <w:t>1.根据投标供应商近三年平均资产总额排序评分。平均资产总额最高的得标准分，其余依次递减0.</w:t>
            </w:r>
            <w:r>
              <w:rPr>
                <w:rFonts w:hint="eastAsia" w:ascii="宋体" w:cs="宋体"/>
                <w:szCs w:val="21"/>
                <w:lang w:val="en-US" w:eastAsia="zh-CN"/>
              </w:rPr>
              <w:t>1</w:t>
            </w:r>
            <w:r>
              <w:rPr>
                <w:rFonts w:hint="eastAsia" w:ascii="宋体" w:cs="宋体"/>
                <w:szCs w:val="21"/>
              </w:rPr>
              <w:t>分。</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szCs w:val="21"/>
                <w:lang w:eastAsia="zh-CN"/>
              </w:rPr>
            </w:pPr>
            <w:r>
              <w:rPr>
                <w:rFonts w:hint="eastAsia" w:ascii="宋体" w:cs="宋体"/>
                <w:szCs w:val="21"/>
                <w:lang w:val="en-US" w:eastAsia="zh-CN"/>
              </w:rPr>
              <w:t>3</w:t>
            </w:r>
          </w:p>
        </w:tc>
      </w:tr>
      <w:tr>
        <w:tblPrEx>
          <w:tblCellMar>
            <w:top w:w="0" w:type="dxa"/>
            <w:left w:w="108" w:type="dxa"/>
            <w:bottom w:w="0" w:type="dxa"/>
            <w:right w:w="108" w:type="dxa"/>
          </w:tblCellMar>
        </w:tblPrEx>
        <w:trPr>
          <w:trHeight w:val="612" w:hRule="atLeast"/>
          <w:jc w:val="center"/>
        </w:trPr>
        <w:tc>
          <w:tcPr>
            <w:tcW w:w="28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1"/>
                <w:szCs w:val="21"/>
              </w:rPr>
            </w:pPr>
          </w:p>
        </w:tc>
        <w:tc>
          <w:tcPr>
            <w:tcW w:w="2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sz w:val="21"/>
                <w:szCs w:val="21"/>
              </w:rPr>
            </w:pPr>
          </w:p>
        </w:tc>
        <w:tc>
          <w:tcPr>
            <w:tcW w:w="5390" w:type="dxa"/>
            <w:tcBorders>
              <w:top w:val="single" w:color="auto" w:sz="4" w:space="0"/>
              <w:left w:val="nil"/>
              <w:bottom w:val="single" w:color="auto" w:sz="4" w:space="0"/>
              <w:right w:val="single" w:color="auto" w:sz="4" w:space="0"/>
            </w:tcBorders>
            <w:vAlign w:val="center"/>
          </w:tcPr>
          <w:p>
            <w:pPr>
              <w:widowControl/>
              <w:jc w:val="left"/>
              <w:rPr>
                <w:rFonts w:hint="eastAsia" w:ascii="宋体" w:cs="宋体"/>
                <w:szCs w:val="21"/>
              </w:rPr>
            </w:pPr>
            <w:r>
              <w:rPr>
                <w:rFonts w:hint="eastAsia" w:ascii="宋体"/>
                <w:szCs w:val="21"/>
              </w:rPr>
              <w:t>2.根据</w:t>
            </w:r>
            <w:r>
              <w:rPr>
                <w:rFonts w:hint="eastAsia" w:ascii="宋体" w:cs="宋体"/>
                <w:szCs w:val="21"/>
              </w:rPr>
              <w:t>投标供应商</w:t>
            </w:r>
            <w:r>
              <w:rPr>
                <w:rFonts w:hint="eastAsia" w:ascii="宋体"/>
                <w:szCs w:val="21"/>
              </w:rPr>
              <w:t>近三年缴纳社保金额由大至小排名，第一名得</w:t>
            </w:r>
            <w:r>
              <w:rPr>
                <w:rFonts w:hint="eastAsia" w:ascii="宋体"/>
                <w:szCs w:val="21"/>
                <w:lang w:val="en-US" w:eastAsia="zh-CN"/>
              </w:rPr>
              <w:t>3</w:t>
            </w:r>
            <w:r>
              <w:rPr>
                <w:rFonts w:hint="eastAsia" w:ascii="宋体"/>
                <w:szCs w:val="21"/>
              </w:rPr>
              <w:t>分，依次递减0.</w:t>
            </w:r>
            <w:r>
              <w:rPr>
                <w:rFonts w:hint="eastAsia" w:ascii="宋体"/>
                <w:szCs w:val="21"/>
                <w:lang w:val="en-US" w:eastAsia="zh-CN"/>
              </w:rPr>
              <w:t>1</w:t>
            </w:r>
            <w:r>
              <w:rPr>
                <w:rFonts w:hint="eastAsia" w:ascii="宋体"/>
                <w:szCs w:val="21"/>
              </w:rPr>
              <w:t>分。</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szCs w:val="21"/>
                <w:lang w:eastAsia="zh-CN"/>
              </w:rPr>
            </w:pPr>
            <w:r>
              <w:rPr>
                <w:rFonts w:hint="eastAsia" w:ascii="宋体" w:cs="宋体"/>
                <w:szCs w:val="21"/>
                <w:lang w:val="en-US" w:eastAsia="zh-CN"/>
              </w:rPr>
              <w:t>3</w:t>
            </w:r>
          </w:p>
        </w:tc>
      </w:tr>
      <w:tr>
        <w:tblPrEx>
          <w:tblCellMar>
            <w:top w:w="0" w:type="dxa"/>
            <w:left w:w="108" w:type="dxa"/>
            <w:bottom w:w="0" w:type="dxa"/>
            <w:right w:w="108" w:type="dxa"/>
          </w:tblCellMar>
        </w:tblPrEx>
        <w:trPr>
          <w:trHeight w:val="773" w:hRule="atLeast"/>
          <w:jc w:val="center"/>
        </w:trPr>
        <w:tc>
          <w:tcPr>
            <w:tcW w:w="750" w:type="dxa"/>
            <w:tcBorders>
              <w:top w:val="single" w:color="auto" w:sz="4" w:space="0"/>
              <w:left w:val="single" w:color="auto" w:sz="4" w:space="0"/>
              <w:bottom w:val="nil"/>
              <w:right w:val="single" w:color="auto" w:sz="4" w:space="0"/>
            </w:tcBorders>
            <w:vAlign w:val="center"/>
          </w:tcPr>
          <w:p>
            <w:pPr>
              <w:widowControl/>
              <w:jc w:val="center"/>
              <w:rPr>
                <w:rFonts w:hint="eastAsia" w:ascii="宋体" w:cs="宋体"/>
                <w:szCs w:val="21"/>
              </w:rPr>
            </w:pPr>
            <w:r>
              <w:rPr>
                <w:rFonts w:hint="eastAsia" w:ascii="宋体" w:cs="宋体"/>
                <w:szCs w:val="21"/>
              </w:rPr>
              <w:t>2</w:t>
            </w:r>
          </w:p>
        </w:tc>
        <w:tc>
          <w:tcPr>
            <w:tcW w:w="2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26" w:type="dxa"/>
            <w:tcBorders>
              <w:top w:val="single" w:color="auto" w:sz="4" w:space="0"/>
              <w:left w:val="single" w:color="auto" w:sz="4" w:space="0"/>
              <w:bottom w:val="nil"/>
              <w:right w:val="single" w:color="auto" w:sz="4" w:space="0"/>
            </w:tcBorders>
            <w:vAlign w:val="center"/>
          </w:tcPr>
          <w:p>
            <w:pPr>
              <w:widowControl/>
              <w:jc w:val="left"/>
              <w:rPr>
                <w:rFonts w:hint="eastAsia" w:ascii="宋体" w:cs="宋体"/>
                <w:szCs w:val="21"/>
              </w:rPr>
            </w:pPr>
            <w:r>
              <w:rPr>
                <w:rFonts w:hint="eastAsia" w:ascii="宋体"/>
                <w:szCs w:val="21"/>
              </w:rPr>
              <w:t>产品业绩</w:t>
            </w:r>
          </w:p>
        </w:tc>
        <w:tc>
          <w:tcPr>
            <w:tcW w:w="5390" w:type="dxa"/>
            <w:tcBorders>
              <w:top w:val="single" w:color="auto" w:sz="4" w:space="0"/>
              <w:left w:val="nil"/>
              <w:bottom w:val="single" w:color="auto" w:sz="4" w:space="0"/>
              <w:right w:val="single" w:color="auto" w:sz="4" w:space="0"/>
            </w:tcBorders>
            <w:vAlign w:val="center"/>
          </w:tcPr>
          <w:p>
            <w:pPr>
              <w:widowControl/>
              <w:snapToGrid w:val="0"/>
              <w:jc w:val="left"/>
              <w:rPr>
                <w:rFonts w:hint="eastAsia" w:ascii="宋体" w:eastAsia="宋体"/>
                <w:szCs w:val="21"/>
                <w:lang w:val="en-US" w:eastAsia="zh-CN"/>
              </w:rPr>
            </w:pPr>
            <w:r>
              <w:rPr>
                <w:rFonts w:hint="eastAsia" w:ascii="宋体"/>
                <w:szCs w:val="21"/>
                <w:lang w:eastAsia="zh-CN"/>
              </w:rPr>
              <w:t>根据投标供应商所提供业绩数量进行排名，排名第一得标准分</w:t>
            </w:r>
            <w:r>
              <w:rPr>
                <w:rFonts w:hint="eastAsia" w:ascii="宋体"/>
                <w:szCs w:val="21"/>
                <w:lang w:val="en-US" w:eastAsia="zh-CN"/>
              </w:rPr>
              <w:t>9分，其余</w:t>
            </w:r>
            <w:r>
              <w:rPr>
                <w:rFonts w:hint="eastAsia" w:ascii="宋体"/>
                <w:szCs w:val="21"/>
              </w:rPr>
              <w:t>依次递减0.</w:t>
            </w:r>
            <w:r>
              <w:rPr>
                <w:rFonts w:hint="eastAsia" w:ascii="宋体"/>
                <w:szCs w:val="21"/>
                <w:lang w:val="en-US" w:eastAsia="zh-CN"/>
              </w:rPr>
              <w:t>1</w:t>
            </w:r>
            <w:r>
              <w:rPr>
                <w:rFonts w:hint="eastAsia" w:ascii="宋体"/>
                <w:szCs w:val="21"/>
              </w:rPr>
              <w:t>分</w:t>
            </w:r>
            <w:r>
              <w:rPr>
                <w:rFonts w:hint="eastAsia" w:ascii="宋体"/>
                <w:szCs w:val="21"/>
                <w:lang w:eastAsia="zh-CN"/>
              </w:rPr>
              <w:t>（业绩证明材料需提供中标通知书或合同）注：</w:t>
            </w:r>
            <w:r>
              <w:rPr>
                <w:rFonts w:hint="eastAsia" w:ascii="宋体" w:hAnsi="宋体" w:cs="Times New Roman"/>
                <w:color w:val="000000" w:themeColor="text1"/>
                <w:kern w:val="0"/>
                <w:szCs w:val="21"/>
                <w:lang w:eastAsia="zh-CN"/>
                <w14:textFill>
                  <w14:solidFill>
                    <w14:schemeClr w14:val="tx1"/>
                  </w14:solidFill>
                </w14:textFill>
              </w:rPr>
              <w:t>投标</w:t>
            </w:r>
            <w:r>
              <w:rPr>
                <w:rFonts w:hint="eastAsia" w:ascii="宋体" w:hAnsi="宋体" w:cs="Times New Roman"/>
                <w:color w:val="000000" w:themeColor="text1"/>
                <w:kern w:val="0"/>
                <w:szCs w:val="21"/>
                <w14:textFill>
                  <w14:solidFill>
                    <w14:schemeClr w14:val="tx1"/>
                  </w14:solidFill>
                </w14:textFill>
              </w:rPr>
              <w:t>供应商为生产企业时，提供</w:t>
            </w:r>
            <w:r>
              <w:rPr>
                <w:rFonts w:hint="eastAsia" w:ascii="宋体" w:hAnsi="宋体" w:cs="Times New Roman"/>
                <w:color w:val="000000" w:themeColor="text1"/>
                <w:kern w:val="0"/>
                <w:szCs w:val="21"/>
                <w:lang w:eastAsia="zh-CN"/>
                <w14:textFill>
                  <w14:solidFill>
                    <w14:schemeClr w14:val="tx1"/>
                  </w14:solidFill>
                </w14:textFill>
              </w:rPr>
              <w:t>投标</w:t>
            </w:r>
            <w:r>
              <w:rPr>
                <w:rFonts w:hint="eastAsia" w:ascii="宋体" w:hAnsi="宋体" w:cs="Times New Roman"/>
                <w:color w:val="000000" w:themeColor="text1"/>
                <w:kern w:val="0"/>
                <w:szCs w:val="21"/>
                <w14:textFill>
                  <w14:solidFill>
                    <w14:schemeClr w14:val="tx1"/>
                  </w14:solidFill>
                </w14:textFill>
              </w:rPr>
              <w:t>方</w:t>
            </w:r>
            <w:r>
              <w:rPr>
                <w:rFonts w:hint="eastAsia" w:ascii="宋体" w:hAnsi="宋体" w:cs="Times New Roman"/>
                <w:color w:val="000000" w:themeColor="text1"/>
                <w:kern w:val="0"/>
                <w:szCs w:val="21"/>
                <w:lang w:eastAsia="zh-CN"/>
                <w14:textFill>
                  <w14:solidFill>
                    <w14:schemeClr w14:val="tx1"/>
                  </w14:solidFill>
                </w14:textFill>
              </w:rPr>
              <w:t>业绩证明材料</w:t>
            </w:r>
            <w:r>
              <w:rPr>
                <w:rFonts w:hint="eastAsia" w:ascii="宋体" w:hAnsi="宋体" w:cs="Times New Roman"/>
                <w:color w:val="000000" w:themeColor="text1"/>
                <w:kern w:val="0"/>
                <w:szCs w:val="21"/>
                <w14:textFill>
                  <w14:solidFill>
                    <w14:schemeClr w14:val="tx1"/>
                  </w14:solidFill>
                </w14:textFill>
              </w:rPr>
              <w:t>。</w:t>
            </w:r>
            <w:r>
              <w:rPr>
                <w:rFonts w:hint="eastAsia" w:ascii="宋体" w:hAnsi="宋体" w:cs="Times New Roman"/>
                <w:color w:val="000000" w:themeColor="text1"/>
                <w:kern w:val="0"/>
                <w:szCs w:val="21"/>
                <w:lang w:eastAsia="zh-CN"/>
                <w14:textFill>
                  <w14:solidFill>
                    <w14:schemeClr w14:val="tx1"/>
                  </w14:solidFill>
                </w14:textFill>
              </w:rPr>
              <w:t>投标</w:t>
            </w:r>
            <w:r>
              <w:rPr>
                <w:rFonts w:hint="eastAsia" w:ascii="宋体" w:hAnsi="宋体" w:cs="Times New Roman"/>
                <w:color w:val="000000" w:themeColor="text1"/>
                <w:kern w:val="0"/>
                <w:szCs w:val="21"/>
                <w14:textFill>
                  <w14:solidFill>
                    <w14:schemeClr w14:val="tx1"/>
                  </w14:solidFill>
                </w14:textFill>
              </w:rPr>
              <w:t>供应商为代理商时，可以提供</w:t>
            </w:r>
            <w:r>
              <w:rPr>
                <w:rFonts w:hint="eastAsia" w:ascii="宋体" w:hAnsi="宋体" w:cs="Times New Roman"/>
                <w:color w:val="000000" w:themeColor="text1"/>
                <w:kern w:val="0"/>
                <w:szCs w:val="21"/>
                <w:lang w:eastAsia="zh-CN"/>
                <w14:textFill>
                  <w14:solidFill>
                    <w14:schemeClr w14:val="tx1"/>
                  </w14:solidFill>
                </w14:textFill>
              </w:rPr>
              <w:t>投标</w:t>
            </w:r>
            <w:r>
              <w:rPr>
                <w:rFonts w:hint="eastAsia" w:ascii="宋体" w:hAnsi="宋体" w:cs="Times New Roman"/>
                <w:color w:val="000000" w:themeColor="text1"/>
                <w:kern w:val="0"/>
                <w:szCs w:val="21"/>
                <w14:textFill>
                  <w14:solidFill>
                    <w14:schemeClr w14:val="tx1"/>
                  </w14:solidFill>
                </w14:textFill>
              </w:rPr>
              <w:t>方代理</w:t>
            </w:r>
            <w:r>
              <w:rPr>
                <w:rFonts w:hint="eastAsia" w:ascii="宋体" w:hAnsi="宋体" w:cs="Times New Roman"/>
                <w:color w:val="000000" w:themeColor="text1"/>
                <w:kern w:val="0"/>
                <w:szCs w:val="21"/>
                <w:lang w:eastAsia="zh-CN"/>
                <w14:textFill>
                  <w14:solidFill>
                    <w14:schemeClr w14:val="tx1"/>
                  </w14:solidFill>
                </w14:textFill>
              </w:rPr>
              <w:t>业绩证明材料</w:t>
            </w:r>
            <w:r>
              <w:rPr>
                <w:rFonts w:hint="eastAsia" w:ascii="宋体" w:hAnsi="宋体" w:cs="Times New Roman"/>
                <w:color w:val="000000" w:themeColor="text1"/>
                <w:kern w:val="0"/>
                <w:szCs w:val="21"/>
                <w14:textFill>
                  <w14:solidFill>
                    <w14:schemeClr w14:val="tx1"/>
                  </w14:solidFill>
                </w14:textFill>
              </w:rPr>
              <w:t>，或提供生产企业</w:t>
            </w:r>
            <w:r>
              <w:rPr>
                <w:rFonts w:hint="eastAsia" w:ascii="宋体" w:hAnsi="宋体" w:cs="Times New Roman"/>
                <w:color w:val="000000" w:themeColor="text1"/>
                <w:kern w:val="0"/>
                <w:szCs w:val="21"/>
                <w:lang w:eastAsia="zh-CN"/>
                <w14:textFill>
                  <w14:solidFill>
                    <w14:schemeClr w14:val="tx1"/>
                  </w14:solidFill>
                </w14:textFill>
              </w:rPr>
              <w:t>业绩证明材料</w:t>
            </w:r>
            <w:r>
              <w:rPr>
                <w:rFonts w:hint="eastAsia" w:ascii="宋体" w:hAnsi="宋体" w:cs="Times New Roman"/>
                <w:color w:val="000000" w:themeColor="text1"/>
                <w:kern w:val="0"/>
                <w:szCs w:val="21"/>
                <w14:textFill>
                  <w14:solidFill>
                    <w14:schemeClr w14:val="tx1"/>
                  </w14:solidFill>
                </w14:textFill>
              </w:rPr>
              <w:t>；</w:t>
            </w:r>
          </w:p>
        </w:tc>
        <w:tc>
          <w:tcPr>
            <w:tcW w:w="1141" w:type="dxa"/>
            <w:tcBorders>
              <w:top w:val="nil"/>
              <w:left w:val="nil"/>
              <w:bottom w:val="single" w:color="auto" w:sz="4" w:space="0"/>
              <w:right w:val="single" w:color="auto" w:sz="4" w:space="0"/>
            </w:tcBorders>
            <w:vAlign w:val="center"/>
          </w:tcPr>
          <w:p>
            <w:pPr>
              <w:widowControl/>
              <w:jc w:val="center"/>
              <w:rPr>
                <w:rFonts w:hint="default" w:ascii="宋体" w:eastAsia="宋体" w:cs="宋体"/>
                <w:szCs w:val="21"/>
                <w:lang w:val="en-US" w:eastAsia="zh-CN"/>
              </w:rPr>
            </w:pPr>
            <w:r>
              <w:rPr>
                <w:rFonts w:hint="eastAsia" w:ascii="宋体" w:cs="宋体"/>
                <w:szCs w:val="21"/>
                <w:lang w:val="en-US" w:eastAsia="zh-CN"/>
              </w:rPr>
              <w:t>9</w:t>
            </w:r>
          </w:p>
        </w:tc>
      </w:tr>
      <w:tr>
        <w:tblPrEx>
          <w:tblCellMar>
            <w:top w:w="0" w:type="dxa"/>
            <w:left w:w="108" w:type="dxa"/>
            <w:bottom w:w="0" w:type="dxa"/>
            <w:right w:w="108" w:type="dxa"/>
          </w:tblCellMar>
        </w:tblPrEx>
        <w:trPr>
          <w:trHeight w:val="88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szCs w:val="21"/>
              </w:rPr>
            </w:pPr>
            <w:r>
              <w:rPr>
                <w:rFonts w:hint="eastAsia" w:ascii="宋体" w:cs="宋体"/>
                <w:szCs w:val="21"/>
              </w:rPr>
              <w:t>3</w:t>
            </w:r>
          </w:p>
        </w:tc>
        <w:tc>
          <w:tcPr>
            <w:tcW w:w="2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szCs w:val="21"/>
              </w:rPr>
            </w:pPr>
            <w:r>
              <w:rPr>
                <w:rFonts w:hint="eastAsia" w:ascii="宋体" w:cs="宋体"/>
                <w:szCs w:val="21"/>
              </w:rPr>
              <w:t>财务状况</w:t>
            </w:r>
          </w:p>
        </w:tc>
        <w:tc>
          <w:tcPr>
            <w:tcW w:w="5390" w:type="dxa"/>
            <w:tcBorders>
              <w:top w:val="single" w:color="auto" w:sz="4" w:space="0"/>
              <w:left w:val="nil"/>
              <w:bottom w:val="single" w:color="auto" w:sz="4" w:space="0"/>
              <w:right w:val="single" w:color="auto" w:sz="4" w:space="0"/>
            </w:tcBorders>
            <w:vAlign w:val="center"/>
          </w:tcPr>
          <w:p>
            <w:pPr>
              <w:widowControl/>
              <w:jc w:val="left"/>
              <w:rPr>
                <w:rFonts w:hint="eastAsia" w:ascii="宋体" w:cs="宋体"/>
                <w:szCs w:val="21"/>
              </w:rPr>
            </w:pPr>
            <w:r>
              <w:rPr>
                <w:rFonts w:hint="eastAsia" w:ascii="宋体"/>
                <w:szCs w:val="21"/>
              </w:rPr>
              <w:t>根据</w:t>
            </w:r>
            <w:r>
              <w:rPr>
                <w:rFonts w:hint="eastAsia" w:ascii="宋体" w:cs="宋体"/>
                <w:szCs w:val="21"/>
              </w:rPr>
              <w:t>投标供应商</w:t>
            </w:r>
            <w:r>
              <w:rPr>
                <w:rFonts w:hint="eastAsia" w:ascii="宋体"/>
                <w:szCs w:val="21"/>
              </w:rPr>
              <w:t>近三年平均净利润金额排名，第一名得</w:t>
            </w:r>
            <w:r>
              <w:rPr>
                <w:rFonts w:hint="eastAsia" w:ascii="宋体"/>
                <w:szCs w:val="21"/>
                <w:lang w:val="en-US" w:eastAsia="zh-CN"/>
              </w:rPr>
              <w:t>4</w:t>
            </w:r>
            <w:r>
              <w:rPr>
                <w:rFonts w:hint="eastAsia" w:ascii="宋体"/>
                <w:szCs w:val="21"/>
              </w:rPr>
              <w:t>分，依次递减0.</w:t>
            </w:r>
            <w:r>
              <w:rPr>
                <w:rFonts w:hint="eastAsia" w:ascii="宋体"/>
                <w:szCs w:val="21"/>
                <w:lang w:val="en-US" w:eastAsia="zh-CN"/>
              </w:rPr>
              <w:t>1</w:t>
            </w:r>
            <w:r>
              <w:rPr>
                <w:rFonts w:hint="eastAsia" w:ascii="宋体"/>
                <w:szCs w:val="21"/>
              </w:rPr>
              <w:t>分，净利润为负值的得0分。（以第三方会计师事务所出具的近3年的财务审计报告中显示的数据为准）</w:t>
            </w:r>
          </w:p>
        </w:tc>
        <w:tc>
          <w:tcPr>
            <w:tcW w:w="1141" w:type="dxa"/>
            <w:tcBorders>
              <w:top w:val="single" w:color="auto" w:sz="4" w:space="0"/>
              <w:left w:val="nil"/>
              <w:bottom w:val="single" w:color="auto" w:sz="4" w:space="0"/>
              <w:right w:val="single" w:color="auto" w:sz="4" w:space="0"/>
            </w:tcBorders>
            <w:vAlign w:val="center"/>
          </w:tcPr>
          <w:p>
            <w:pPr>
              <w:jc w:val="center"/>
              <w:rPr>
                <w:rFonts w:hint="eastAsia" w:ascii="宋体" w:eastAsia="宋体" w:cs="宋体"/>
                <w:szCs w:val="21"/>
                <w:lang w:eastAsia="zh-CN"/>
              </w:rPr>
            </w:pPr>
            <w:r>
              <w:rPr>
                <w:rFonts w:hint="eastAsia" w:ascii="宋体" w:cs="宋体"/>
                <w:szCs w:val="21"/>
                <w:lang w:val="en-US" w:eastAsia="zh-CN"/>
              </w:rPr>
              <w:t>4</w:t>
            </w:r>
          </w:p>
        </w:tc>
      </w:tr>
      <w:tr>
        <w:tblPrEx>
          <w:tblCellMar>
            <w:top w:w="0" w:type="dxa"/>
            <w:left w:w="108" w:type="dxa"/>
            <w:bottom w:w="0" w:type="dxa"/>
            <w:right w:w="108" w:type="dxa"/>
          </w:tblCellMar>
        </w:tblPrEx>
        <w:trPr>
          <w:trHeight w:val="85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szCs w:val="21"/>
              </w:rPr>
            </w:pPr>
            <w:r>
              <w:rPr>
                <w:rFonts w:hint="eastAsia" w:ascii="宋体" w:cs="宋体"/>
                <w:szCs w:val="21"/>
              </w:rPr>
              <w:t>4</w:t>
            </w:r>
          </w:p>
        </w:tc>
        <w:tc>
          <w:tcPr>
            <w:tcW w:w="21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企业信誉</w:t>
            </w:r>
          </w:p>
        </w:tc>
        <w:tc>
          <w:tcPr>
            <w:tcW w:w="5390" w:type="dxa"/>
            <w:tcBorders>
              <w:top w:val="single" w:color="auto" w:sz="4" w:space="0"/>
              <w:left w:val="nil"/>
              <w:bottom w:val="single" w:color="auto" w:sz="4" w:space="0"/>
              <w:right w:val="single" w:color="auto" w:sz="4" w:space="0"/>
            </w:tcBorders>
            <w:vAlign w:val="center"/>
          </w:tcPr>
          <w:p>
            <w:pPr>
              <w:widowControl/>
              <w:snapToGrid w:val="0"/>
              <w:jc w:val="left"/>
              <w:rPr>
                <w:rFonts w:hint="eastAsia" w:ascii="宋体" w:hAnsi="宋体" w:cs="Times New Roman"/>
                <w:color w:val="000000" w:themeColor="text1"/>
                <w:kern w:val="0"/>
                <w:szCs w:val="21"/>
                <w14:textFill>
                  <w14:solidFill>
                    <w14:schemeClr w14:val="tx1"/>
                  </w14:solidFill>
                </w14:textFill>
              </w:rPr>
            </w:pPr>
            <w:r>
              <w:rPr>
                <w:rFonts w:hint="eastAsia" w:ascii="宋体" w:hAnsi="宋体" w:cs="Times New Roman"/>
                <w:color w:val="000000" w:themeColor="text1"/>
                <w:kern w:val="0"/>
                <w:szCs w:val="21"/>
                <w14:textFill>
                  <w14:solidFill>
                    <w14:schemeClr w14:val="tx1"/>
                  </w14:solidFill>
                </w14:textFill>
              </w:rPr>
              <w:t>投标供应商获得A级纳税信用评价的，得1分（须提供“信用中国”企业基础信息“守信激励”纳税信用截图），否则不得分。</w:t>
            </w:r>
          </w:p>
        </w:tc>
        <w:tc>
          <w:tcPr>
            <w:tcW w:w="1141"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szCs w:val="21"/>
                <w:highlight w:val="yellow"/>
              </w:rPr>
            </w:pPr>
            <w:r>
              <w:rPr>
                <w:rFonts w:hint="eastAsia" w:ascii="宋体"/>
                <w:szCs w:val="21"/>
              </w:rPr>
              <w:t>1</w:t>
            </w:r>
          </w:p>
        </w:tc>
      </w:tr>
      <w:tr>
        <w:tblPrEx>
          <w:tblCellMar>
            <w:top w:w="0" w:type="dxa"/>
            <w:left w:w="108" w:type="dxa"/>
            <w:bottom w:w="0" w:type="dxa"/>
            <w:right w:w="108" w:type="dxa"/>
          </w:tblCellMar>
        </w:tblPrEx>
        <w:trPr>
          <w:trHeight w:val="850" w:hRule="atLeast"/>
          <w:jc w:val="center"/>
        </w:trPr>
        <w:tc>
          <w:tcPr>
            <w:tcW w:w="286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szCs w:val="21"/>
              </w:rPr>
            </w:pPr>
            <w:r>
              <w:rPr>
                <w:rFonts w:hint="eastAsia" w:ascii="宋体" w:cs="宋体"/>
                <w:szCs w:val="21"/>
              </w:rPr>
              <w:t>合计</w:t>
            </w:r>
          </w:p>
        </w:tc>
        <w:tc>
          <w:tcPr>
            <w:tcW w:w="5390" w:type="dxa"/>
            <w:tcBorders>
              <w:top w:val="single" w:color="auto" w:sz="4" w:space="0"/>
              <w:left w:val="nil"/>
              <w:bottom w:val="single" w:color="auto" w:sz="4" w:space="0"/>
              <w:right w:val="single" w:color="auto" w:sz="4" w:space="0"/>
            </w:tcBorders>
            <w:vAlign w:val="center"/>
          </w:tcPr>
          <w:p>
            <w:pPr>
              <w:widowControl/>
              <w:jc w:val="left"/>
              <w:rPr>
                <w:rFonts w:hint="eastAsia" w:ascii="宋体"/>
                <w:szCs w:val="21"/>
              </w:rPr>
            </w:pPr>
          </w:p>
        </w:tc>
        <w:tc>
          <w:tcPr>
            <w:tcW w:w="1141"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szCs w:val="21"/>
                <w:lang w:val="en-US" w:eastAsia="zh-CN"/>
              </w:rPr>
            </w:pPr>
            <w:r>
              <w:rPr>
                <w:rFonts w:hint="eastAsia" w:ascii="宋体" w:cs="宋体"/>
                <w:szCs w:val="21"/>
                <w:lang w:val="en-US" w:eastAsia="zh-CN"/>
              </w:rPr>
              <w:t>20</w:t>
            </w:r>
          </w:p>
        </w:tc>
      </w:tr>
    </w:tbl>
    <w:p>
      <w:pPr>
        <w:spacing w:line="360" w:lineRule="auto"/>
        <w:ind w:firstLine="560" w:firstLineChars="200"/>
        <w:rPr>
          <w:rFonts w:hint="eastAsia" w:ascii="黑体" w:hAnsi="黑体" w:eastAsia="黑体"/>
          <w:bCs/>
          <w:kern w:val="2"/>
          <w:sz w:val="28"/>
          <w:szCs w:val="28"/>
        </w:rPr>
      </w:pPr>
      <w:r>
        <w:rPr>
          <w:rFonts w:hint="eastAsia" w:ascii="黑体" w:hAnsi="黑体" w:eastAsia="黑体"/>
          <w:bCs/>
          <w:sz w:val="28"/>
          <w:szCs w:val="28"/>
        </w:rPr>
        <w:br w:type="page"/>
      </w:r>
    </w:p>
    <w:p>
      <w:pPr>
        <w:pStyle w:val="7"/>
        <w:numPr>
          <w:ilvl w:val="2"/>
          <w:numId w:val="0"/>
        </w:numPr>
        <w:tabs>
          <w:tab w:val="clear" w:pos="1820"/>
        </w:tabs>
        <w:spacing w:before="120" w:beforeLines="50" w:after="120" w:afterLines="50" w:line="560" w:lineRule="exact"/>
        <w:ind w:leftChars="0"/>
        <w:rPr>
          <w:rFonts w:hint="eastAsia" w:ascii="黑体" w:hAnsi="黑体" w:eastAsia="黑体"/>
          <w:b w:val="0"/>
          <w:sz w:val="28"/>
          <w:szCs w:val="28"/>
        </w:rPr>
      </w:pPr>
      <w:bookmarkStart w:id="468" w:name="_Toc130886994"/>
      <w:bookmarkStart w:id="469" w:name="_Toc128150129"/>
      <w:bookmarkStart w:id="470" w:name="_Toc128151022"/>
      <w:bookmarkStart w:id="471" w:name="_Toc3498"/>
      <w:bookmarkStart w:id="472" w:name="_Toc128150773"/>
      <w:bookmarkStart w:id="473" w:name="_Toc132190629"/>
      <w:bookmarkStart w:id="474" w:name="_Toc127820559"/>
      <w:bookmarkStart w:id="475" w:name="_Toc128397965"/>
      <w:bookmarkStart w:id="476" w:name="_Toc130887495"/>
      <w:bookmarkStart w:id="477" w:name="_Toc130657987"/>
      <w:bookmarkStart w:id="478" w:name="_Toc130657533"/>
      <w:r>
        <w:rPr>
          <w:rFonts w:hint="eastAsia" w:ascii="黑体" w:hAnsi="黑体"/>
          <w:b w:val="0"/>
          <w:sz w:val="28"/>
          <w:szCs w:val="28"/>
        </w:rPr>
        <w:t>附表4 技术评审标准表（综合评分法）</w:t>
      </w:r>
      <w:bookmarkEnd w:id="468"/>
      <w:bookmarkEnd w:id="469"/>
      <w:bookmarkEnd w:id="470"/>
      <w:bookmarkEnd w:id="471"/>
      <w:bookmarkEnd w:id="472"/>
      <w:bookmarkEnd w:id="473"/>
      <w:bookmarkEnd w:id="474"/>
      <w:bookmarkEnd w:id="475"/>
      <w:bookmarkEnd w:id="476"/>
      <w:bookmarkEnd w:id="477"/>
      <w:bookmarkEnd w:id="478"/>
    </w:p>
    <w:p>
      <w:pPr>
        <w:spacing w:before="240" w:beforeLines="100" w:after="240" w:afterLines="100"/>
        <w:jc w:val="center"/>
        <w:rPr>
          <w:rFonts w:hint="eastAsia" w:ascii="黑体" w:hAnsi="黑体" w:eastAsia="黑体"/>
          <w:bCs/>
          <w:sz w:val="36"/>
          <w:szCs w:val="36"/>
        </w:rPr>
      </w:pPr>
      <w:r>
        <w:rPr>
          <w:rFonts w:hint="eastAsia" w:ascii="黑体" w:hAnsi="黑体" w:eastAsia="黑体"/>
          <w:bCs/>
          <w:sz w:val="36"/>
          <w:szCs w:val="36"/>
        </w:rPr>
        <w:t>技术评审标准表（综合评分法）</w:t>
      </w:r>
    </w:p>
    <w:tbl>
      <w:tblPr>
        <w:tblStyle w:val="45"/>
        <w:tblW w:w="9390" w:type="dxa"/>
        <w:jc w:val="center"/>
        <w:tblLayout w:type="fixed"/>
        <w:tblCellMar>
          <w:top w:w="0" w:type="dxa"/>
          <w:left w:w="108" w:type="dxa"/>
          <w:bottom w:w="0" w:type="dxa"/>
          <w:right w:w="108" w:type="dxa"/>
        </w:tblCellMar>
      </w:tblPr>
      <w:tblGrid>
        <w:gridCol w:w="750"/>
        <w:gridCol w:w="988"/>
        <w:gridCol w:w="1125"/>
        <w:gridCol w:w="5387"/>
        <w:gridCol w:w="1140"/>
      </w:tblGrid>
      <w:tr>
        <w:tblPrEx>
          <w:tblCellMar>
            <w:top w:w="0" w:type="dxa"/>
            <w:left w:w="108" w:type="dxa"/>
            <w:bottom w:w="0" w:type="dxa"/>
            <w:right w:w="108" w:type="dxa"/>
          </w:tblCellMar>
        </w:tblPrEx>
        <w:trPr>
          <w:trHeight w:val="21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 w:val="21"/>
                <w:szCs w:val="21"/>
                <w:highlight w:val="none"/>
              </w:rPr>
            </w:pPr>
            <w:bookmarkStart w:id="479" w:name="_Toc8813"/>
            <w:r>
              <w:rPr>
                <w:rFonts w:hint="eastAsia" w:ascii="宋体" w:cs="宋体"/>
                <w:b/>
                <w:bCs/>
                <w:szCs w:val="21"/>
                <w:highlight w:val="none"/>
              </w:rPr>
              <w:t>序号</w:t>
            </w:r>
          </w:p>
        </w:tc>
        <w:tc>
          <w:tcPr>
            <w:tcW w:w="21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Cs w:val="21"/>
                <w:highlight w:val="none"/>
              </w:rPr>
            </w:pPr>
            <w:r>
              <w:rPr>
                <w:rFonts w:hint="eastAsia" w:ascii="宋体" w:cs="宋体"/>
                <w:b/>
                <w:bCs/>
                <w:szCs w:val="21"/>
                <w:highlight w:val="none"/>
              </w:rPr>
              <w:t>评审项目</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Cs w:val="21"/>
                <w:highlight w:val="none"/>
              </w:rPr>
            </w:pPr>
            <w:r>
              <w:rPr>
                <w:rFonts w:hint="eastAsia" w:ascii="宋体" w:cs="宋体"/>
                <w:b/>
                <w:bCs/>
                <w:szCs w:val="21"/>
                <w:highlight w:val="none"/>
              </w:rPr>
              <w:t>评审内容及规则</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szCs w:val="21"/>
                <w:highlight w:val="none"/>
              </w:rPr>
            </w:pPr>
            <w:r>
              <w:rPr>
                <w:rFonts w:hint="eastAsia" w:ascii="宋体" w:cs="宋体"/>
                <w:b/>
                <w:bCs/>
                <w:szCs w:val="21"/>
                <w:highlight w:val="none"/>
              </w:rPr>
              <w:t>标准分值</w:t>
            </w:r>
          </w:p>
        </w:tc>
      </w:tr>
      <w:tr>
        <w:tblPrEx>
          <w:tblCellMar>
            <w:top w:w="0" w:type="dxa"/>
            <w:left w:w="108" w:type="dxa"/>
            <w:bottom w:w="0" w:type="dxa"/>
            <w:right w:w="108" w:type="dxa"/>
          </w:tblCellMar>
        </w:tblPrEx>
        <w:trPr>
          <w:trHeight w:val="26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szCs w:val="21"/>
                <w:highlight w:val="none"/>
              </w:rPr>
            </w:pPr>
            <w:r>
              <w:rPr>
                <w:rFonts w:hint="eastAsia" w:ascii="宋体" w:cs="宋体"/>
                <w:szCs w:val="21"/>
                <w:highlight w:val="none"/>
              </w:rPr>
              <w:t>2</w:t>
            </w:r>
          </w:p>
        </w:tc>
        <w:tc>
          <w:tcPr>
            <w:tcW w:w="988" w:type="dxa"/>
            <w:vMerge w:val="restart"/>
            <w:tcBorders>
              <w:top w:val="single" w:color="auto" w:sz="4" w:space="0"/>
              <w:left w:val="single" w:color="auto" w:sz="4" w:space="0"/>
              <w:right w:val="single" w:color="auto" w:sz="4" w:space="0"/>
            </w:tcBorders>
            <w:vAlign w:val="center"/>
          </w:tcPr>
          <w:p>
            <w:pPr>
              <w:widowControl/>
              <w:jc w:val="left"/>
              <w:rPr>
                <w:rFonts w:ascii="宋体" w:cs="宋体"/>
                <w:sz w:val="21"/>
                <w:szCs w:val="21"/>
                <w:highlight w:val="none"/>
              </w:rPr>
            </w:pPr>
          </w:p>
        </w:tc>
        <w:tc>
          <w:tcPr>
            <w:tcW w:w="112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cs="宋体"/>
                <w:szCs w:val="21"/>
                <w:highlight w:val="none"/>
              </w:rPr>
            </w:pPr>
            <w:r>
              <w:rPr>
                <w:rFonts w:hint="eastAsia" w:ascii="宋体" w:cs="宋体"/>
                <w:szCs w:val="21"/>
                <w:highlight w:val="none"/>
              </w:rPr>
              <w:t>技术指标</w:t>
            </w:r>
          </w:p>
        </w:tc>
        <w:tc>
          <w:tcPr>
            <w:tcW w:w="5387" w:type="dxa"/>
            <w:tcBorders>
              <w:top w:val="nil"/>
              <w:left w:val="nil"/>
              <w:bottom w:val="single" w:color="auto" w:sz="4" w:space="0"/>
              <w:right w:val="single" w:color="auto" w:sz="4" w:space="0"/>
            </w:tcBorders>
            <w:vAlign w:val="center"/>
          </w:tcPr>
          <w:p>
            <w:pPr>
              <w:widowControl/>
              <w:rPr>
                <w:rFonts w:hint="eastAsia" w:ascii="宋体" w:hAnsi="宋体" w:eastAsia="宋体" w:cs="Times New Roman"/>
                <w:b w:val="0"/>
                <w:bCs w:val="0"/>
                <w:color w:val="000000" w:themeColor="text1"/>
                <w:kern w:val="0"/>
                <w:szCs w:val="21"/>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0"/>
                <w:szCs w:val="21"/>
                <w:highlight w:val="none"/>
                <w:lang w:val="en-US" w:eastAsia="zh-CN"/>
                <w14:textFill>
                  <w14:solidFill>
                    <w14:schemeClr w14:val="tx1"/>
                  </w14:solidFill>
                </w14:textFill>
              </w:rPr>
              <w:t>1.</w:t>
            </w:r>
            <w:r>
              <w:rPr>
                <w:rFonts w:hint="eastAsia" w:ascii="宋体" w:hAnsi="宋体" w:eastAsia="宋体" w:cs="Times New Roman"/>
                <w:b w:val="0"/>
                <w:bCs w:val="0"/>
                <w:color w:val="000000" w:themeColor="text1"/>
                <w:kern w:val="0"/>
                <w:szCs w:val="21"/>
                <w:highlight w:val="none"/>
                <w14:textFill>
                  <w14:solidFill>
                    <w14:schemeClr w14:val="tx1"/>
                  </w14:solidFill>
                </w14:textFill>
              </w:rPr>
              <w:t>依据招标文件技术参数要求应充分考虑用户需求，在产品选型过程中，提供的投标产品应是功能、质量、产品配置、性能优良，并满足用户对产品功能、质量、使用、操作等方面的需求，且满足招标文件技术参数和技术规格要求的产品，评审委员会根据投标人所投产品的技术参数、配置、质量和性能等进行综合评审，全部技术指标完全满足参数要求，正规厂家生产，标识齐全规范，得</w:t>
            </w:r>
            <w:r>
              <w:rPr>
                <w:rFonts w:hint="eastAsia" w:ascii="宋体" w:hAnsi="宋体" w:eastAsia="宋体" w:cs="Times New Roman"/>
                <w:b w:val="0"/>
                <w:bCs w:val="0"/>
                <w:color w:val="000000" w:themeColor="text1"/>
                <w:kern w:val="0"/>
                <w:szCs w:val="21"/>
                <w:highlight w:val="none"/>
                <w:lang w:val="en-US" w:eastAsia="zh-CN"/>
                <w14:textFill>
                  <w14:solidFill>
                    <w14:schemeClr w14:val="tx1"/>
                  </w14:solidFill>
                </w14:textFill>
              </w:rPr>
              <w:t>3</w:t>
            </w:r>
            <w:r>
              <w:rPr>
                <w:rFonts w:hint="eastAsia" w:ascii="宋体" w:hAnsi="宋体" w:cs="Times New Roman"/>
                <w:b w:val="0"/>
                <w:bCs w:val="0"/>
                <w:color w:val="000000" w:themeColor="text1"/>
                <w:kern w:val="0"/>
                <w:szCs w:val="21"/>
                <w:highlight w:val="none"/>
                <w:lang w:val="en-US" w:eastAsia="zh-CN"/>
                <w14:textFill>
                  <w14:solidFill>
                    <w14:schemeClr w14:val="tx1"/>
                  </w14:solidFill>
                </w14:textFill>
              </w:rPr>
              <w:t>0</w:t>
            </w:r>
            <w:r>
              <w:rPr>
                <w:rFonts w:hint="eastAsia" w:ascii="宋体" w:hAnsi="宋体" w:eastAsia="宋体" w:cs="Times New Roman"/>
                <w:b w:val="0"/>
                <w:bCs w:val="0"/>
                <w:color w:val="000000" w:themeColor="text1"/>
                <w:kern w:val="0"/>
                <w:szCs w:val="21"/>
                <w:highlight w:val="none"/>
                <w14:textFill>
                  <w14:solidFill>
                    <w14:schemeClr w14:val="tx1"/>
                  </w14:solidFill>
                </w14:textFill>
              </w:rPr>
              <w:t>分，</w:t>
            </w:r>
            <w:r>
              <w:rPr>
                <w:rFonts w:hint="eastAsia" w:ascii="宋体" w:hAnsi="宋体" w:cs="Times New Roman"/>
                <w:b w:val="0"/>
                <w:bCs w:val="0"/>
                <w:color w:val="000000" w:themeColor="text1"/>
                <w:kern w:val="0"/>
                <w:szCs w:val="21"/>
                <w:highlight w:val="none"/>
                <w:lang w:val="en-US" w:eastAsia="zh-CN"/>
                <w14:textFill>
                  <w14:solidFill>
                    <w14:schemeClr w14:val="tx1"/>
                  </w14:solidFill>
                </w14:textFill>
              </w:rPr>
              <w:t>参数</w:t>
            </w:r>
            <w:r>
              <w:rPr>
                <w:rFonts w:hint="eastAsia" w:ascii="宋体" w:hAnsi="宋体" w:eastAsia="宋体" w:cs="Times New Roman"/>
                <w:b w:val="0"/>
                <w:bCs w:val="0"/>
                <w:color w:val="000000" w:themeColor="text1"/>
                <w:kern w:val="0"/>
                <w:szCs w:val="21"/>
                <w:highlight w:val="none"/>
                <w14:textFill>
                  <w14:solidFill>
                    <w14:schemeClr w14:val="tx1"/>
                  </w14:solidFill>
                </w14:textFill>
              </w:rPr>
              <w:t>有一项不满足扣</w:t>
            </w:r>
            <w:r>
              <w:rPr>
                <w:rFonts w:hint="eastAsia" w:ascii="宋体" w:hAnsi="宋体" w:cs="Times New Roman"/>
                <w:b w:val="0"/>
                <w:bCs w:val="0"/>
                <w:color w:val="000000" w:themeColor="text1"/>
                <w:kern w:val="0"/>
                <w:szCs w:val="21"/>
                <w:highlight w:val="none"/>
                <w:lang w:val="en-US" w:eastAsia="zh-CN"/>
                <w14:textFill>
                  <w14:solidFill>
                    <w14:schemeClr w14:val="tx1"/>
                  </w14:solidFill>
                </w14:textFill>
              </w:rPr>
              <w:t>3</w:t>
            </w:r>
            <w:r>
              <w:rPr>
                <w:rFonts w:hint="eastAsia" w:ascii="宋体" w:hAnsi="宋体" w:eastAsia="宋体" w:cs="Times New Roman"/>
                <w:b w:val="0"/>
                <w:bCs w:val="0"/>
                <w:color w:val="000000" w:themeColor="text1"/>
                <w:kern w:val="0"/>
                <w:szCs w:val="21"/>
                <w:highlight w:val="none"/>
                <w14:textFill>
                  <w14:solidFill>
                    <w14:schemeClr w14:val="tx1"/>
                  </w14:solidFill>
                </w14:textFill>
              </w:rPr>
              <w:t>分，扣完为止</w:t>
            </w:r>
            <w:r>
              <w:rPr>
                <w:rFonts w:hint="eastAsia" w:ascii="宋体" w:hAnsi="宋体" w:cs="Times New Roman"/>
                <w:b w:val="0"/>
                <w:bCs w:val="0"/>
                <w:color w:val="000000" w:themeColor="text1"/>
                <w:kern w:val="0"/>
                <w:szCs w:val="21"/>
                <w:highlight w:val="none"/>
                <w:lang w:eastAsia="zh-CN"/>
                <w14:textFill>
                  <w14:solidFill>
                    <w14:schemeClr w14:val="tx1"/>
                  </w14:solidFill>
                </w14:textFill>
              </w:rPr>
              <w:t>。</w:t>
            </w:r>
          </w:p>
          <w:p>
            <w:pPr>
              <w:widowControl/>
              <w:rPr>
                <w:rFonts w:hint="eastAsia" w:ascii="宋体" w:cs="宋体"/>
                <w:szCs w:val="21"/>
                <w:highlight w:val="none"/>
              </w:rPr>
            </w:pPr>
            <w:r>
              <w:rPr>
                <w:rFonts w:hint="eastAsia" w:ascii="宋体" w:hAnsi="宋体" w:eastAsia="宋体" w:cs="Times New Roman"/>
                <w:b w:val="0"/>
                <w:bCs w:val="0"/>
                <w:color w:val="000000" w:themeColor="text1"/>
                <w:kern w:val="0"/>
                <w:szCs w:val="21"/>
                <w:highlight w:val="none"/>
                <w14:textFill>
                  <w14:solidFill>
                    <w14:schemeClr w14:val="tx1"/>
                  </w14:solidFill>
                </w14:textFill>
              </w:rPr>
              <w:t>注:1.技术参数响应指标以投标产品检测报告或中文白皮书或官网截图或性能参数说明书为准，若投标文件中技术支持资料参数与技术规格偏离表应答不符或无支持资料应答，而投标人又未在投标文件中作出说明和解释的，视为不响应该条技术参数要求。</w:t>
            </w:r>
          </w:p>
        </w:tc>
        <w:tc>
          <w:tcPr>
            <w:tcW w:w="1140" w:type="dxa"/>
            <w:tcBorders>
              <w:top w:val="nil"/>
              <w:left w:val="nil"/>
              <w:bottom w:val="single" w:color="auto" w:sz="4" w:space="0"/>
              <w:right w:val="single" w:color="auto" w:sz="4" w:space="0"/>
            </w:tcBorders>
            <w:vAlign w:val="center"/>
          </w:tcPr>
          <w:p>
            <w:pPr>
              <w:widowControl/>
              <w:jc w:val="center"/>
              <w:rPr>
                <w:rFonts w:hint="default" w:ascii="宋体" w:eastAsia="宋体" w:cs="宋体"/>
                <w:szCs w:val="21"/>
                <w:highlight w:val="none"/>
                <w:lang w:val="en-US" w:eastAsia="zh-CN"/>
              </w:rPr>
            </w:pPr>
            <w:r>
              <w:rPr>
                <w:rFonts w:hint="eastAsia" w:ascii="宋体" w:cs="宋体"/>
                <w:szCs w:val="21"/>
                <w:highlight w:val="none"/>
                <w:lang w:val="en-US" w:eastAsia="zh-CN"/>
              </w:rPr>
              <w:t>30</w:t>
            </w:r>
          </w:p>
        </w:tc>
      </w:tr>
      <w:tr>
        <w:tblPrEx>
          <w:tblCellMar>
            <w:top w:w="0" w:type="dxa"/>
            <w:left w:w="108" w:type="dxa"/>
            <w:bottom w:w="0" w:type="dxa"/>
            <w:right w:w="108" w:type="dxa"/>
          </w:tblCellMar>
        </w:tblPrEx>
        <w:trPr>
          <w:trHeight w:val="348" w:hRule="atLeast"/>
          <w:jc w:val="center"/>
        </w:trPr>
        <w:tc>
          <w:tcPr>
            <w:tcW w:w="750" w:type="dxa"/>
            <w:vMerge w:val="restart"/>
            <w:tcBorders>
              <w:top w:val="nil"/>
              <w:left w:val="single" w:color="auto" w:sz="4" w:space="0"/>
              <w:bottom w:val="nil"/>
              <w:right w:val="single" w:color="auto" w:sz="4" w:space="0"/>
            </w:tcBorders>
            <w:vAlign w:val="center"/>
          </w:tcPr>
          <w:p>
            <w:pPr>
              <w:widowControl/>
              <w:jc w:val="center"/>
              <w:rPr>
                <w:rFonts w:hint="eastAsia" w:ascii="宋体" w:cs="宋体"/>
                <w:szCs w:val="21"/>
                <w:highlight w:val="none"/>
              </w:rPr>
            </w:pPr>
            <w:r>
              <w:rPr>
                <w:rFonts w:hint="eastAsia" w:ascii="宋体" w:cs="宋体"/>
                <w:szCs w:val="21"/>
                <w:highlight w:val="none"/>
              </w:rPr>
              <w:t>3</w:t>
            </w:r>
          </w:p>
        </w:tc>
        <w:tc>
          <w:tcPr>
            <w:tcW w:w="98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1125" w:type="dxa"/>
            <w:vMerge w:val="restart"/>
            <w:tcBorders>
              <w:top w:val="single" w:color="auto" w:sz="4" w:space="0"/>
              <w:left w:val="nil"/>
              <w:bottom w:val="nil"/>
              <w:right w:val="single" w:color="auto" w:sz="4" w:space="0"/>
            </w:tcBorders>
            <w:vAlign w:val="center"/>
          </w:tcPr>
          <w:p>
            <w:pPr>
              <w:widowControl/>
              <w:rPr>
                <w:rFonts w:hint="eastAsia" w:ascii="宋体" w:cs="宋体"/>
                <w:szCs w:val="21"/>
                <w:highlight w:val="none"/>
              </w:rPr>
            </w:pPr>
            <w:r>
              <w:rPr>
                <w:rFonts w:hint="eastAsia" w:ascii="宋体" w:cs="宋体"/>
                <w:szCs w:val="21"/>
                <w:highlight w:val="none"/>
              </w:rPr>
              <w:t>售后服务</w:t>
            </w:r>
          </w:p>
        </w:tc>
        <w:tc>
          <w:tcPr>
            <w:tcW w:w="5387" w:type="dxa"/>
            <w:tcBorders>
              <w:top w:val="nil"/>
              <w:left w:val="nil"/>
              <w:bottom w:val="single" w:color="auto" w:sz="4" w:space="0"/>
              <w:right w:val="single" w:color="auto" w:sz="4" w:space="0"/>
            </w:tcBorders>
            <w:vAlign w:val="center"/>
          </w:tcPr>
          <w:p>
            <w:pPr>
              <w:widowControl/>
              <w:jc w:val="left"/>
              <w:rPr>
                <w:rFonts w:hint="eastAsia" w:ascii="宋体" w:cs="宋体"/>
                <w:szCs w:val="21"/>
                <w:highlight w:val="none"/>
              </w:rPr>
            </w:pPr>
            <w:r>
              <w:rPr>
                <w:rFonts w:hint="eastAsia" w:ascii="宋体" w:hAnsi="宋体"/>
                <w:color w:val="000000" w:themeColor="text1"/>
                <w:kern w:val="0"/>
                <w:szCs w:val="21"/>
                <w:highlight w:val="none"/>
                <w:lang w:val="en-US" w:eastAsia="zh-CN"/>
                <w14:textFill>
                  <w14:solidFill>
                    <w14:schemeClr w14:val="tx1"/>
                  </w14:solidFill>
                </w14:textFill>
              </w:rPr>
              <w:t>1、从</w:t>
            </w:r>
            <w:r>
              <w:rPr>
                <w:rFonts w:hint="eastAsia" w:ascii="宋体" w:hAnsi="宋体"/>
                <w:color w:val="000000" w:themeColor="text1"/>
                <w:kern w:val="0"/>
                <w:szCs w:val="21"/>
                <w:highlight w:val="none"/>
                <w14:textFill>
                  <w14:solidFill>
                    <w14:schemeClr w14:val="tx1"/>
                  </w14:solidFill>
                </w14:textFill>
              </w:rPr>
              <w:t>指定时间将货物配送至指定地点，配送车辆及配送人员安排、安装调试人员安排、验收方案等满足项目需求，对产品供货安装计划与调试有及时可靠的供应保障方案，安全保证措施、质量保证措施方案切实可行，有承诺和优惠条件等情况进行评审，</w:t>
            </w:r>
            <w:r>
              <w:rPr>
                <w:rFonts w:hint="eastAsia" w:ascii="宋体" w:hAnsi="宋体"/>
                <w:color w:val="000000" w:themeColor="text1"/>
                <w:kern w:val="0"/>
                <w:szCs w:val="21"/>
                <w:highlight w:val="none"/>
                <w:lang w:val="en-US" w:eastAsia="zh-CN"/>
                <w14:textFill>
                  <w14:solidFill>
                    <w14:schemeClr w14:val="tx1"/>
                  </w14:solidFill>
                </w14:textFill>
              </w:rPr>
              <w:t>完整合理、针对性强的得5分，不够完善的3分，极不完善的得1分，未提供的不得分</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szCs w:val="21"/>
                <w:highlight w:val="none"/>
                <w:lang w:val="en-US" w:eastAsia="zh-CN"/>
              </w:rPr>
            </w:pPr>
            <w:r>
              <w:rPr>
                <w:rFonts w:hint="eastAsia" w:ascii="宋体" w:cs="宋体"/>
                <w:szCs w:val="21"/>
                <w:highlight w:val="none"/>
                <w:lang w:val="en-US" w:eastAsia="zh-CN"/>
              </w:rPr>
              <w:t>5</w:t>
            </w:r>
          </w:p>
        </w:tc>
      </w:tr>
      <w:tr>
        <w:tblPrEx>
          <w:tblCellMar>
            <w:top w:w="0" w:type="dxa"/>
            <w:left w:w="108" w:type="dxa"/>
            <w:bottom w:w="0" w:type="dxa"/>
            <w:right w:w="108" w:type="dxa"/>
          </w:tblCellMar>
        </w:tblPrEx>
        <w:trPr>
          <w:trHeight w:val="344" w:hRule="atLeast"/>
          <w:jc w:val="center"/>
        </w:trPr>
        <w:tc>
          <w:tcPr>
            <w:tcW w:w="750" w:type="dxa"/>
            <w:vMerge w:val="continue"/>
            <w:tcBorders>
              <w:top w:val="nil"/>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98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1125" w:type="dxa"/>
            <w:vMerge w:val="continue"/>
            <w:tcBorders>
              <w:top w:val="single" w:color="auto" w:sz="4" w:space="0"/>
              <w:left w:val="nil"/>
              <w:bottom w:val="nil"/>
              <w:right w:val="single" w:color="auto" w:sz="4" w:space="0"/>
            </w:tcBorders>
            <w:vAlign w:val="center"/>
          </w:tcPr>
          <w:p>
            <w:pPr>
              <w:widowControl/>
              <w:jc w:val="left"/>
              <w:rPr>
                <w:rFonts w:ascii="宋体" w:cs="宋体"/>
                <w:sz w:val="21"/>
                <w:szCs w:val="21"/>
                <w:highlight w:val="none"/>
              </w:rPr>
            </w:pPr>
          </w:p>
        </w:tc>
        <w:tc>
          <w:tcPr>
            <w:tcW w:w="5387" w:type="dxa"/>
            <w:tcBorders>
              <w:top w:val="nil"/>
              <w:left w:val="nil"/>
              <w:bottom w:val="single" w:color="auto" w:sz="4" w:space="0"/>
              <w:right w:val="single" w:color="auto" w:sz="4" w:space="0"/>
            </w:tcBorders>
            <w:vAlign w:val="center"/>
          </w:tcPr>
          <w:p>
            <w:pPr>
              <w:widowControl/>
              <w:jc w:val="left"/>
              <w:rPr>
                <w:rFonts w:hint="eastAsia" w:ascii="宋体" w:cs="宋体"/>
                <w:szCs w:val="21"/>
                <w:highlight w:val="none"/>
              </w:rPr>
            </w:pPr>
            <w:r>
              <w:rPr>
                <w:rFonts w:hint="eastAsia" w:ascii="宋体" w:cs="宋体"/>
                <w:szCs w:val="21"/>
                <w:highlight w:val="none"/>
                <w:lang w:val="en-US" w:eastAsia="zh-CN"/>
              </w:rPr>
              <w:t>2、质保期</w:t>
            </w:r>
            <w:r>
              <w:rPr>
                <w:rFonts w:hint="eastAsia" w:ascii="宋体" w:cs="宋体"/>
                <w:szCs w:val="21"/>
                <w:highlight w:val="none"/>
              </w:rPr>
              <w:t>：在满足招标文件要求的基础上，每增加</w:t>
            </w:r>
            <w:r>
              <w:rPr>
                <w:rFonts w:hint="eastAsia" w:ascii="宋体" w:cs="宋体"/>
                <w:szCs w:val="21"/>
                <w:highlight w:val="none"/>
                <w:lang w:val="en-US" w:eastAsia="zh-CN"/>
              </w:rPr>
              <w:t>3</w:t>
            </w:r>
            <w:r>
              <w:rPr>
                <w:rFonts w:hint="eastAsia" w:ascii="宋体" w:cs="宋体"/>
                <w:szCs w:val="21"/>
                <w:highlight w:val="none"/>
              </w:rPr>
              <w:t>个月得0.5分，最多得标准分值，不符合招标文件要求按无效投标处理。（未履行保修承诺的，相关企业将列入黑名单。免费保修期满后方可退回质保金）</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szCs w:val="21"/>
                <w:highlight w:val="none"/>
              </w:rPr>
            </w:pPr>
            <w:r>
              <w:rPr>
                <w:rFonts w:hint="eastAsia" w:ascii="宋体" w:cs="宋体"/>
                <w:szCs w:val="21"/>
                <w:highlight w:val="none"/>
              </w:rPr>
              <w:t>2</w:t>
            </w:r>
          </w:p>
        </w:tc>
      </w:tr>
      <w:tr>
        <w:tblPrEx>
          <w:tblCellMar>
            <w:top w:w="0" w:type="dxa"/>
            <w:left w:w="108" w:type="dxa"/>
            <w:bottom w:w="0" w:type="dxa"/>
            <w:right w:w="108" w:type="dxa"/>
          </w:tblCellMar>
        </w:tblPrEx>
        <w:trPr>
          <w:trHeight w:val="344" w:hRule="atLeast"/>
          <w:jc w:val="center"/>
        </w:trPr>
        <w:tc>
          <w:tcPr>
            <w:tcW w:w="750" w:type="dxa"/>
            <w:vMerge w:val="continue"/>
            <w:tcBorders>
              <w:top w:val="nil"/>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98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1125" w:type="dxa"/>
            <w:vMerge w:val="continue"/>
            <w:tcBorders>
              <w:top w:val="single" w:color="auto" w:sz="4" w:space="0"/>
              <w:left w:val="nil"/>
              <w:bottom w:val="nil"/>
              <w:right w:val="single" w:color="auto" w:sz="4" w:space="0"/>
            </w:tcBorders>
            <w:vAlign w:val="center"/>
          </w:tcPr>
          <w:p>
            <w:pPr>
              <w:widowControl/>
              <w:jc w:val="left"/>
              <w:rPr>
                <w:rFonts w:ascii="宋体" w:cs="宋体"/>
                <w:sz w:val="21"/>
                <w:szCs w:val="21"/>
                <w:highlight w:val="none"/>
              </w:rPr>
            </w:pPr>
          </w:p>
        </w:tc>
        <w:tc>
          <w:tcPr>
            <w:tcW w:w="5387" w:type="dxa"/>
            <w:tcBorders>
              <w:top w:val="nil"/>
              <w:left w:val="nil"/>
              <w:bottom w:val="single" w:color="auto" w:sz="4" w:space="0"/>
              <w:right w:val="single" w:color="auto" w:sz="4" w:space="0"/>
            </w:tcBorders>
            <w:vAlign w:val="center"/>
          </w:tcPr>
          <w:p>
            <w:pPr>
              <w:widowControl/>
              <w:jc w:val="left"/>
              <w:rPr>
                <w:rFonts w:hint="eastAsia" w:ascii="宋体"/>
                <w:szCs w:val="21"/>
                <w:highlight w:val="none"/>
              </w:rPr>
            </w:pPr>
            <w:r>
              <w:rPr>
                <w:rFonts w:hint="eastAsia" w:ascii="宋体"/>
                <w:szCs w:val="21"/>
                <w:highlight w:val="none"/>
              </w:rPr>
              <w:t>3.按照报价方承诺的零配件保证供应时间长短排名，时间最长的得标准分值，依次递减0.</w:t>
            </w:r>
            <w:r>
              <w:rPr>
                <w:rFonts w:hint="eastAsia" w:ascii="宋体"/>
                <w:szCs w:val="21"/>
                <w:highlight w:val="none"/>
                <w:lang w:val="en-US" w:eastAsia="zh-CN"/>
              </w:rPr>
              <w:t>1</w:t>
            </w:r>
            <w:r>
              <w:rPr>
                <w:rFonts w:hint="eastAsia" w:ascii="宋体"/>
                <w:szCs w:val="21"/>
                <w:highlight w:val="none"/>
              </w:rPr>
              <w:t>分，最低得0分。</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szCs w:val="21"/>
                <w:highlight w:val="none"/>
              </w:rPr>
            </w:pPr>
            <w:r>
              <w:rPr>
                <w:rFonts w:hint="eastAsia" w:ascii="宋体" w:cs="宋体"/>
                <w:szCs w:val="21"/>
                <w:highlight w:val="none"/>
              </w:rPr>
              <w:t>1</w:t>
            </w:r>
          </w:p>
        </w:tc>
      </w:tr>
      <w:tr>
        <w:tblPrEx>
          <w:tblCellMar>
            <w:top w:w="0" w:type="dxa"/>
            <w:left w:w="108" w:type="dxa"/>
            <w:bottom w:w="0" w:type="dxa"/>
            <w:right w:w="108" w:type="dxa"/>
          </w:tblCellMar>
        </w:tblPrEx>
        <w:trPr>
          <w:trHeight w:val="344" w:hRule="atLeast"/>
          <w:jc w:val="center"/>
        </w:trPr>
        <w:tc>
          <w:tcPr>
            <w:tcW w:w="750" w:type="dxa"/>
            <w:vMerge w:val="continue"/>
            <w:tcBorders>
              <w:top w:val="nil"/>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98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1125" w:type="dxa"/>
            <w:vMerge w:val="continue"/>
            <w:tcBorders>
              <w:top w:val="single" w:color="auto" w:sz="4" w:space="0"/>
              <w:left w:val="nil"/>
              <w:bottom w:val="nil"/>
              <w:right w:val="single" w:color="auto" w:sz="4" w:space="0"/>
            </w:tcBorders>
            <w:vAlign w:val="center"/>
          </w:tcPr>
          <w:p>
            <w:pPr>
              <w:widowControl/>
              <w:jc w:val="left"/>
              <w:rPr>
                <w:rFonts w:ascii="宋体" w:cs="宋体"/>
                <w:sz w:val="21"/>
                <w:szCs w:val="21"/>
                <w:highlight w:val="none"/>
              </w:rPr>
            </w:pPr>
          </w:p>
        </w:tc>
        <w:tc>
          <w:tcPr>
            <w:tcW w:w="5387" w:type="dxa"/>
            <w:tcBorders>
              <w:top w:val="nil"/>
              <w:left w:val="nil"/>
              <w:bottom w:val="single" w:color="auto" w:sz="4" w:space="0"/>
              <w:right w:val="single" w:color="auto" w:sz="4" w:space="0"/>
            </w:tcBorders>
            <w:vAlign w:val="center"/>
          </w:tcPr>
          <w:p>
            <w:pPr>
              <w:widowControl/>
              <w:snapToGrid w:val="0"/>
              <w:jc w:val="left"/>
              <w:rPr>
                <w:rFonts w:hint="eastAsia" w:ascii="宋体" w:hAnsi="宋体"/>
                <w:color w:val="000000" w:themeColor="text1"/>
                <w:kern w:val="0"/>
                <w:szCs w:val="21"/>
                <w:highlight w:val="none"/>
                <w14:textFill>
                  <w14:solidFill>
                    <w14:schemeClr w14:val="tx1"/>
                  </w14:solidFill>
                </w14:textFill>
              </w:rPr>
            </w:pPr>
            <w:r>
              <w:rPr>
                <w:rFonts w:hint="eastAsia" w:ascii="宋体"/>
                <w:szCs w:val="21"/>
                <w:highlight w:val="none"/>
              </w:rPr>
              <w:t>4</w:t>
            </w:r>
            <w:r>
              <w:rPr>
                <w:rFonts w:hint="eastAsia" w:ascii="宋体" w:hAnsi="宋体"/>
                <w:color w:val="000000" w:themeColor="text1"/>
                <w:kern w:val="0"/>
                <w:szCs w:val="21"/>
                <w:highlight w:val="none"/>
                <w14:textFill>
                  <w14:solidFill>
                    <w14:schemeClr w14:val="tx1"/>
                  </w14:solidFill>
                </w14:textFill>
              </w:rPr>
              <w:t>维修响应：</w:t>
            </w:r>
            <w:r>
              <w:rPr>
                <w:rFonts w:hint="eastAsia" w:ascii="宋体" w:hAnsi="宋体"/>
                <w:color w:val="000000" w:themeColor="text1"/>
                <w:kern w:val="0"/>
                <w:szCs w:val="21"/>
                <w:highlight w:val="none"/>
                <w:lang w:val="en-US" w:eastAsia="zh-CN"/>
                <w14:textFill>
                  <w14:solidFill>
                    <w14:schemeClr w14:val="tx1"/>
                  </w14:solidFill>
                </w14:textFill>
              </w:rPr>
              <w:t>从</w:t>
            </w:r>
            <w:r>
              <w:rPr>
                <w:rFonts w:hint="eastAsia" w:ascii="宋体" w:hAnsi="宋体"/>
                <w:color w:val="000000" w:themeColor="text1"/>
                <w:kern w:val="0"/>
                <w:szCs w:val="21"/>
                <w:highlight w:val="none"/>
                <w14:textFill>
                  <w14:solidFill>
                    <w14:schemeClr w14:val="tx1"/>
                  </w14:solidFill>
                </w14:textFill>
              </w:rPr>
              <w:t>①保修期内服务方案</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②免费保修服务承诺、③上门现场服务、</w:t>
            </w:r>
          </w:p>
          <w:p>
            <w:pPr>
              <w:widowControl/>
              <w:jc w:val="left"/>
              <w:rPr>
                <w:rFonts w:hint="eastAsia" w:ascii="宋体"/>
                <w:szCs w:val="21"/>
                <w:highlight w:val="none"/>
              </w:rPr>
            </w:pPr>
            <w:r>
              <w:rPr>
                <w:rFonts w:hint="eastAsia" w:ascii="宋体" w:hAnsi="宋体"/>
                <w:color w:val="000000" w:themeColor="text1"/>
                <w:kern w:val="0"/>
                <w:szCs w:val="21"/>
                <w:highlight w:val="none"/>
                <w14:textFill>
                  <w14:solidFill>
                    <w14:schemeClr w14:val="tx1"/>
                  </w14:solidFill>
                </w14:textFill>
              </w:rPr>
              <w:t>④故障响应支持、电话及现场技术支持、⑤定期巡检</w:t>
            </w:r>
            <w:r>
              <w:rPr>
                <w:rFonts w:hint="eastAsia" w:ascii="宋体" w:hAnsi="宋体"/>
                <w:color w:val="000000" w:themeColor="text1"/>
                <w:kern w:val="0"/>
                <w:szCs w:val="21"/>
                <w:highlight w:val="none"/>
                <w:lang w:val="en-US" w:eastAsia="zh-CN"/>
                <w14:textFill>
                  <w14:solidFill>
                    <w14:schemeClr w14:val="tx1"/>
                  </w14:solidFill>
                </w14:textFill>
              </w:rPr>
              <w:t>等方面对投标人提供的培训方案进行评价，完整合理、针对性强的得6分，不够完善的3分，极不完善的得1分，未提供的不得分。</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szCs w:val="21"/>
                <w:highlight w:val="none"/>
                <w:lang w:val="en-US" w:eastAsia="zh-CN"/>
              </w:rPr>
            </w:pPr>
            <w:r>
              <w:rPr>
                <w:rFonts w:hint="eastAsia" w:ascii="宋体" w:cs="宋体"/>
                <w:szCs w:val="21"/>
                <w:highlight w:val="none"/>
                <w:lang w:val="en-US" w:eastAsia="zh-CN"/>
              </w:rPr>
              <w:t>6</w:t>
            </w:r>
          </w:p>
        </w:tc>
      </w:tr>
      <w:tr>
        <w:tblPrEx>
          <w:tblCellMar>
            <w:top w:w="0" w:type="dxa"/>
            <w:left w:w="108" w:type="dxa"/>
            <w:bottom w:w="0" w:type="dxa"/>
            <w:right w:w="108" w:type="dxa"/>
          </w:tblCellMar>
        </w:tblPrEx>
        <w:trPr>
          <w:trHeight w:val="344" w:hRule="atLeast"/>
          <w:jc w:val="center"/>
        </w:trPr>
        <w:tc>
          <w:tcPr>
            <w:tcW w:w="750" w:type="dxa"/>
            <w:vMerge w:val="continue"/>
            <w:tcBorders>
              <w:top w:val="nil"/>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98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1125" w:type="dxa"/>
            <w:vMerge w:val="continue"/>
            <w:tcBorders>
              <w:top w:val="single" w:color="auto" w:sz="4" w:space="0"/>
              <w:left w:val="nil"/>
              <w:bottom w:val="nil"/>
              <w:right w:val="single" w:color="auto" w:sz="4" w:space="0"/>
            </w:tcBorders>
            <w:vAlign w:val="center"/>
          </w:tcPr>
          <w:p>
            <w:pPr>
              <w:widowControl/>
              <w:jc w:val="left"/>
              <w:rPr>
                <w:rFonts w:ascii="宋体" w:cs="宋体"/>
                <w:sz w:val="21"/>
                <w:szCs w:val="21"/>
                <w:highlight w:val="none"/>
              </w:rPr>
            </w:pPr>
          </w:p>
        </w:tc>
        <w:tc>
          <w:tcPr>
            <w:tcW w:w="5387" w:type="dxa"/>
            <w:tcBorders>
              <w:top w:val="nil"/>
              <w:left w:val="nil"/>
              <w:bottom w:val="single" w:color="auto" w:sz="4" w:space="0"/>
              <w:right w:val="single" w:color="auto" w:sz="4" w:space="0"/>
            </w:tcBorders>
            <w:vAlign w:val="center"/>
          </w:tcPr>
          <w:p>
            <w:pPr>
              <w:widowControl/>
              <w:snapToGrid w:val="0"/>
              <w:jc w:val="left"/>
              <w:rPr>
                <w:rFonts w:hint="eastAsia" w:ascii="宋体"/>
                <w:szCs w:val="21"/>
                <w:highlight w:val="none"/>
              </w:rPr>
            </w:pPr>
            <w:r>
              <w:rPr>
                <w:rFonts w:hint="eastAsia" w:ascii="宋体"/>
                <w:szCs w:val="21"/>
                <w:highlight w:val="none"/>
              </w:rPr>
              <w:t>5.技术支持和服务网点：</w:t>
            </w:r>
          </w:p>
          <w:p>
            <w:pPr>
              <w:widowControl/>
              <w:snapToGrid w:val="0"/>
              <w:jc w:val="left"/>
              <w:rPr>
                <w:rFonts w:hint="eastAsia" w:ascii="宋体"/>
                <w:szCs w:val="21"/>
                <w:highlight w:val="none"/>
              </w:rPr>
            </w:pPr>
            <w:r>
              <w:rPr>
                <w:rFonts w:hint="eastAsia" w:ascii="宋体"/>
                <w:szCs w:val="21"/>
                <w:highlight w:val="none"/>
              </w:rPr>
              <w:t>（1）产品和品牌具有较高知名度及广泛普及度，提供指定地点的现场服务支持，具备全国各主要省份的售后服务网络和对应的24小时服务支持热线且技术力量能满足部队维修服务需求的得1分，不满足得0分；</w:t>
            </w:r>
          </w:p>
          <w:p>
            <w:pPr>
              <w:widowControl/>
              <w:jc w:val="left"/>
              <w:rPr>
                <w:rFonts w:hint="eastAsia" w:ascii="宋体" w:cs="宋体"/>
                <w:szCs w:val="21"/>
                <w:highlight w:val="none"/>
              </w:rPr>
            </w:pPr>
            <w:r>
              <w:rPr>
                <w:rFonts w:hint="eastAsia" w:ascii="宋体"/>
                <w:szCs w:val="21"/>
                <w:highlight w:val="none"/>
              </w:rPr>
              <w:t>（2）根据服务网点数量排名，第一名得1分，依次按标准分值25%递减，最低得0分。</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szCs w:val="21"/>
                <w:highlight w:val="none"/>
              </w:rPr>
            </w:pPr>
            <w:r>
              <w:rPr>
                <w:rFonts w:hint="eastAsia" w:ascii="宋体" w:cs="宋体"/>
                <w:szCs w:val="21"/>
                <w:highlight w:val="none"/>
              </w:rPr>
              <w:t>2</w:t>
            </w:r>
          </w:p>
        </w:tc>
      </w:tr>
      <w:tr>
        <w:tblPrEx>
          <w:tblCellMar>
            <w:top w:w="0" w:type="dxa"/>
            <w:left w:w="108" w:type="dxa"/>
            <w:bottom w:w="0" w:type="dxa"/>
            <w:right w:w="108" w:type="dxa"/>
          </w:tblCellMar>
        </w:tblPrEx>
        <w:trPr>
          <w:trHeight w:val="1779" w:hRule="atLeast"/>
          <w:jc w:val="center"/>
        </w:trPr>
        <w:tc>
          <w:tcPr>
            <w:tcW w:w="750" w:type="dxa"/>
            <w:tcBorders>
              <w:top w:val="nil"/>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988" w:type="dxa"/>
            <w:tcBorders>
              <w:top w:val="single" w:color="auto" w:sz="4" w:space="0"/>
              <w:left w:val="single" w:color="auto" w:sz="4" w:space="0"/>
              <w:bottom w:val="nil"/>
              <w:right w:val="single" w:color="auto" w:sz="4" w:space="0"/>
            </w:tcBorders>
            <w:vAlign w:val="center"/>
          </w:tcPr>
          <w:p>
            <w:pPr>
              <w:widowControl/>
              <w:jc w:val="left"/>
              <w:rPr>
                <w:rFonts w:ascii="宋体" w:cs="宋体"/>
                <w:sz w:val="21"/>
                <w:szCs w:val="21"/>
                <w:highlight w:val="none"/>
              </w:rPr>
            </w:pPr>
          </w:p>
        </w:tc>
        <w:tc>
          <w:tcPr>
            <w:tcW w:w="1125" w:type="dxa"/>
            <w:tcBorders>
              <w:top w:val="single" w:color="auto" w:sz="4" w:space="0"/>
              <w:left w:val="nil"/>
              <w:bottom w:val="nil"/>
              <w:right w:val="single" w:color="auto" w:sz="4" w:space="0"/>
            </w:tcBorders>
            <w:vAlign w:val="center"/>
          </w:tcPr>
          <w:p>
            <w:pPr>
              <w:widowControl/>
              <w:jc w:val="left"/>
              <w:rPr>
                <w:rFonts w:ascii="宋体" w:cs="宋体"/>
                <w:sz w:val="21"/>
                <w:szCs w:val="21"/>
                <w:highlight w:val="none"/>
              </w:rPr>
            </w:pPr>
            <w:r>
              <w:rPr>
                <w:rFonts w:hint="eastAsia" w:ascii="宋体" w:cs="宋体"/>
                <w:sz w:val="21"/>
                <w:szCs w:val="21"/>
                <w:highlight w:val="none"/>
              </w:rPr>
              <w:t>应急处理方案</w:t>
            </w:r>
          </w:p>
        </w:tc>
        <w:tc>
          <w:tcPr>
            <w:tcW w:w="5387" w:type="dxa"/>
            <w:tcBorders>
              <w:top w:val="nil"/>
              <w:left w:val="nil"/>
              <w:bottom w:val="single" w:color="auto" w:sz="4" w:space="0"/>
              <w:right w:val="single" w:color="auto" w:sz="4" w:space="0"/>
            </w:tcBorders>
            <w:vAlign w:val="center"/>
          </w:tcPr>
          <w:p>
            <w:pPr>
              <w:widowControl/>
              <w:jc w:val="left"/>
              <w:rPr>
                <w:rFonts w:hint="eastAsia" w:ascii="宋体"/>
                <w:szCs w:val="21"/>
                <w:highlight w:val="none"/>
              </w:rPr>
            </w:pPr>
            <w:r>
              <w:rPr>
                <w:rFonts w:hint="eastAsia" w:ascii="宋体"/>
                <w:szCs w:val="21"/>
                <w:highlight w:val="none"/>
                <w:lang w:val="en-US" w:eastAsia="zh-CN"/>
              </w:rPr>
              <w:t>从①</w:t>
            </w:r>
            <w:r>
              <w:rPr>
                <w:rFonts w:hint="eastAsia" w:ascii="宋体"/>
                <w:szCs w:val="21"/>
                <w:highlight w:val="none"/>
              </w:rPr>
              <w:t>产品附件齐</w:t>
            </w:r>
            <w:r>
              <w:rPr>
                <w:rFonts w:hint="eastAsia" w:ascii="宋体"/>
                <w:szCs w:val="21"/>
                <w:highlight w:val="none"/>
                <w:lang w:eastAsia="zh-CN"/>
              </w:rPr>
              <w:t>、</w:t>
            </w:r>
            <w:r>
              <w:rPr>
                <w:rFonts w:hint="eastAsia" w:ascii="宋体"/>
                <w:szCs w:val="21"/>
                <w:highlight w:val="none"/>
                <w:lang w:val="en-US" w:eastAsia="zh-CN"/>
              </w:rPr>
              <w:t>②</w:t>
            </w:r>
            <w:r>
              <w:rPr>
                <w:rFonts w:hint="eastAsia" w:ascii="宋体"/>
                <w:szCs w:val="21"/>
                <w:highlight w:val="none"/>
              </w:rPr>
              <w:t>投标产品的故障处理方案</w:t>
            </w:r>
            <w:r>
              <w:rPr>
                <w:rFonts w:hint="eastAsia" w:ascii="宋体"/>
                <w:szCs w:val="21"/>
                <w:highlight w:val="none"/>
                <w:lang w:eastAsia="zh-CN"/>
              </w:rPr>
              <w:t>、</w:t>
            </w:r>
            <w:r>
              <w:rPr>
                <w:rFonts w:hint="eastAsia" w:ascii="宋体"/>
                <w:szCs w:val="21"/>
                <w:highlight w:val="none"/>
                <w:lang w:val="en-US" w:eastAsia="zh-CN"/>
              </w:rPr>
              <w:t>③</w:t>
            </w:r>
            <w:r>
              <w:rPr>
                <w:rFonts w:hint="eastAsia" w:ascii="宋体"/>
                <w:szCs w:val="21"/>
                <w:highlight w:val="none"/>
              </w:rPr>
              <w:t>维修检测方案拟</w:t>
            </w:r>
            <w:r>
              <w:rPr>
                <w:rFonts w:hint="eastAsia" w:ascii="宋体"/>
                <w:szCs w:val="21"/>
                <w:highlight w:val="none"/>
                <w:lang w:eastAsia="zh-CN"/>
              </w:rPr>
              <w:t>、</w:t>
            </w:r>
            <w:r>
              <w:rPr>
                <w:rFonts w:hint="eastAsia" w:ascii="宋体"/>
                <w:szCs w:val="21"/>
                <w:highlight w:val="none"/>
                <w:lang w:val="en-US" w:eastAsia="zh-CN"/>
              </w:rPr>
              <w:t>④</w:t>
            </w:r>
            <w:r>
              <w:rPr>
                <w:rFonts w:hint="eastAsia" w:ascii="宋体"/>
                <w:szCs w:val="21"/>
                <w:highlight w:val="none"/>
              </w:rPr>
              <w:t>质量保障措施</w:t>
            </w:r>
            <w:r>
              <w:rPr>
                <w:rFonts w:hint="eastAsia" w:ascii="宋体"/>
                <w:szCs w:val="21"/>
                <w:highlight w:val="none"/>
                <w:lang w:val="en-US" w:eastAsia="zh-CN"/>
              </w:rPr>
              <w:t>等方面对投标人提供的培训方案进行评价，完整合理、针对性强的得4分，不够完善的2分，极不完善的得0.5分，未提供的不得分。</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hint="eastAsia" w:ascii="宋体" w:eastAsia="宋体" w:cs="宋体"/>
                <w:szCs w:val="21"/>
                <w:highlight w:val="none"/>
                <w:lang w:val="en-US" w:eastAsia="zh-CN"/>
              </w:rPr>
            </w:pPr>
            <w:r>
              <w:rPr>
                <w:rFonts w:hint="eastAsia" w:ascii="宋体" w:cs="宋体"/>
                <w:szCs w:val="21"/>
                <w:highlight w:val="none"/>
                <w:lang w:val="en-US" w:eastAsia="zh-CN"/>
              </w:rPr>
              <w:t>4</w:t>
            </w:r>
          </w:p>
        </w:tc>
      </w:tr>
      <w:tr>
        <w:tblPrEx>
          <w:tblCellMar>
            <w:top w:w="0" w:type="dxa"/>
            <w:left w:w="108" w:type="dxa"/>
            <w:bottom w:w="0" w:type="dxa"/>
            <w:right w:w="108" w:type="dxa"/>
          </w:tblCellMar>
        </w:tblPrEx>
        <w:trPr>
          <w:trHeight w:val="481" w:hRule="atLeast"/>
          <w:jc w:val="center"/>
        </w:trPr>
        <w:tc>
          <w:tcPr>
            <w:tcW w:w="825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cs="宋体"/>
                <w:szCs w:val="21"/>
                <w:highlight w:val="none"/>
              </w:rPr>
            </w:pPr>
            <w:r>
              <w:rPr>
                <w:rFonts w:hint="eastAsia" w:ascii="宋体" w:cs="宋体"/>
                <w:szCs w:val="21"/>
                <w:highlight w:val="none"/>
              </w:rPr>
              <w:t>合计</w:t>
            </w:r>
          </w:p>
        </w:tc>
        <w:tc>
          <w:tcPr>
            <w:tcW w:w="1140" w:type="dxa"/>
            <w:tcBorders>
              <w:top w:val="nil"/>
              <w:left w:val="nil"/>
              <w:bottom w:val="nil"/>
              <w:right w:val="single" w:color="auto" w:sz="4" w:space="0"/>
            </w:tcBorders>
            <w:vAlign w:val="center"/>
          </w:tcPr>
          <w:p>
            <w:pPr>
              <w:widowControl/>
              <w:jc w:val="center"/>
              <w:rPr>
                <w:rFonts w:hint="eastAsia" w:ascii="宋体" w:eastAsia="宋体" w:cs="宋体"/>
                <w:szCs w:val="21"/>
                <w:highlight w:val="none"/>
                <w:lang w:val="en-US" w:eastAsia="zh-CN"/>
              </w:rPr>
            </w:pPr>
            <w:r>
              <w:rPr>
                <w:rFonts w:hint="eastAsia" w:ascii="宋体" w:cs="宋体"/>
                <w:szCs w:val="21"/>
                <w:highlight w:val="none"/>
              </w:rPr>
              <w:t>5</w:t>
            </w:r>
            <w:r>
              <w:rPr>
                <w:rFonts w:hint="eastAsia" w:ascii="宋体" w:cs="宋体"/>
                <w:szCs w:val="21"/>
                <w:highlight w:val="none"/>
                <w:lang w:val="en-US" w:eastAsia="zh-CN"/>
              </w:rPr>
              <w:t>0</w:t>
            </w:r>
          </w:p>
        </w:tc>
      </w:tr>
    </w:tbl>
    <w:p>
      <w:pPr>
        <w:rPr>
          <w:rFonts w:hint="eastAsia"/>
          <w:kern w:val="2"/>
          <w:sz w:val="21"/>
        </w:rPr>
      </w:pPr>
    </w:p>
    <w:p>
      <w:pPr>
        <w:pStyle w:val="20"/>
      </w:pPr>
      <w:r>
        <w:br w:type="page"/>
      </w:r>
    </w:p>
    <w:p>
      <w:pPr>
        <w:keepNext/>
        <w:keepLines/>
        <w:spacing w:before="120" w:beforeLines="50" w:after="120" w:afterLines="50" w:line="560" w:lineRule="exact"/>
        <w:outlineLvl w:val="2"/>
        <w:rPr>
          <w:rFonts w:ascii="黑体" w:hAnsi="黑体" w:eastAsia="黑体"/>
          <w:bCs/>
          <w:sz w:val="28"/>
          <w:szCs w:val="28"/>
        </w:rPr>
      </w:pPr>
      <w:bookmarkStart w:id="480" w:name="_Toc128397966"/>
      <w:bookmarkStart w:id="481" w:name="_Toc130657988"/>
      <w:bookmarkStart w:id="482" w:name="_Toc128150774"/>
      <w:bookmarkStart w:id="483" w:name="_Toc130886995"/>
      <w:bookmarkStart w:id="484" w:name="_Toc128151023"/>
      <w:bookmarkStart w:id="485" w:name="_Toc130657534"/>
      <w:bookmarkStart w:id="486" w:name="_Toc132190630"/>
      <w:bookmarkStart w:id="487" w:name="_Toc127820560"/>
      <w:bookmarkStart w:id="488" w:name="_Toc128150130"/>
      <w:bookmarkStart w:id="489" w:name="_Toc130887496"/>
      <w:r>
        <w:rPr>
          <w:rFonts w:hint="eastAsia" w:ascii="黑体" w:hAnsi="黑体" w:eastAsia="黑体"/>
          <w:bCs/>
          <w:sz w:val="28"/>
          <w:szCs w:val="28"/>
        </w:rPr>
        <w:t>附表5 价格评审标准表（综合评分法）</w:t>
      </w:r>
      <w:bookmarkEnd w:id="479"/>
      <w:bookmarkEnd w:id="480"/>
      <w:bookmarkEnd w:id="481"/>
      <w:bookmarkEnd w:id="482"/>
      <w:bookmarkEnd w:id="483"/>
      <w:bookmarkEnd w:id="484"/>
      <w:bookmarkEnd w:id="485"/>
      <w:bookmarkEnd w:id="486"/>
      <w:bookmarkEnd w:id="487"/>
      <w:bookmarkEnd w:id="488"/>
      <w:bookmarkEnd w:id="489"/>
    </w:p>
    <w:p>
      <w:pPr>
        <w:spacing w:before="120" w:beforeLines="50" w:after="120" w:afterLines="50" w:line="560" w:lineRule="exact"/>
        <w:jc w:val="center"/>
        <w:rPr>
          <w:rFonts w:hint="eastAsia"/>
          <w:bCs/>
          <w:sz w:val="21"/>
        </w:rPr>
      </w:pPr>
      <w:r>
        <w:rPr>
          <w:rFonts w:hint="eastAsia" w:ascii="黑体" w:hAnsi="黑体" w:eastAsia="黑体"/>
          <w:bCs/>
          <w:sz w:val="36"/>
          <w:szCs w:val="36"/>
        </w:rPr>
        <w:t>价格评审标准表（综合评分法）</w:t>
      </w:r>
    </w:p>
    <w:tbl>
      <w:tblPr>
        <w:tblStyle w:val="45"/>
        <w:tblW w:w="9570" w:type="dxa"/>
        <w:jc w:val="center"/>
        <w:tblLayout w:type="fixed"/>
        <w:tblCellMar>
          <w:top w:w="0" w:type="dxa"/>
          <w:left w:w="108" w:type="dxa"/>
          <w:bottom w:w="0" w:type="dxa"/>
          <w:right w:w="108" w:type="dxa"/>
        </w:tblCellMar>
      </w:tblPr>
      <w:tblGrid>
        <w:gridCol w:w="817"/>
        <w:gridCol w:w="1701"/>
        <w:gridCol w:w="4536"/>
        <w:gridCol w:w="1418"/>
        <w:gridCol w:w="1098"/>
      </w:tblGrid>
      <w:tr>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ascii="宋体" w:hAnsi="宋体" w:eastAsia="楷体_GB2312"/>
                <w:bCs/>
              </w:rPr>
            </w:pPr>
            <w:r>
              <w:rPr>
                <w:rFonts w:hint="eastAsia" w:ascii="宋体" w:hAnsi="宋体"/>
                <w:bCs/>
              </w:rPr>
              <w:t>序号</w:t>
            </w:r>
          </w:p>
        </w:tc>
        <w:tc>
          <w:tcPr>
            <w:tcW w:w="1701"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bCs/>
              </w:rPr>
            </w:pPr>
            <w:r>
              <w:rPr>
                <w:rFonts w:hint="eastAsia" w:ascii="宋体" w:hAnsi="宋体"/>
                <w:bCs/>
              </w:rPr>
              <w:t>评审项目</w:t>
            </w:r>
          </w:p>
        </w:tc>
        <w:tc>
          <w:tcPr>
            <w:tcW w:w="4536"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eastAsia="楷体_GB2312"/>
                <w:bCs/>
              </w:rPr>
            </w:pPr>
            <w:r>
              <w:rPr>
                <w:rFonts w:hint="eastAsia" w:ascii="宋体" w:hAnsi="宋体"/>
                <w:bCs/>
              </w:rPr>
              <w:t>评审内容及规则</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bCs/>
              </w:rPr>
            </w:pPr>
            <w:r>
              <w:rPr>
                <w:rFonts w:hint="eastAsia" w:ascii="宋体" w:hAnsi="宋体"/>
                <w:bCs/>
              </w:rPr>
              <w:t>标准分值</w:t>
            </w:r>
          </w:p>
        </w:tc>
        <w:tc>
          <w:tcPr>
            <w:tcW w:w="1098" w:type="dxa"/>
            <w:tcBorders>
              <w:top w:val="single" w:color="auto" w:sz="4" w:space="0"/>
              <w:left w:val="nil"/>
              <w:bottom w:val="single" w:color="auto" w:sz="4" w:space="0"/>
              <w:right w:val="single" w:color="auto" w:sz="4" w:space="0"/>
            </w:tcBorders>
            <w:vAlign w:val="center"/>
          </w:tcPr>
          <w:p>
            <w:pPr>
              <w:widowControl/>
              <w:snapToGrid w:val="0"/>
              <w:spacing w:line="276" w:lineRule="auto"/>
              <w:jc w:val="center"/>
              <w:rPr>
                <w:rFonts w:hint="eastAsia" w:ascii="宋体" w:hAnsi="宋体"/>
                <w:bCs/>
              </w:rPr>
            </w:pPr>
            <w:r>
              <w:rPr>
                <w:rFonts w:hint="eastAsia" w:ascii="宋体" w:hAnsi="宋体"/>
                <w:bCs/>
              </w:rPr>
              <w:t>说 明</w:t>
            </w:r>
          </w:p>
        </w:tc>
      </w:tr>
      <w:tr>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eastAsia="楷体_GB2312"/>
                <w:bCs/>
              </w:rPr>
            </w:pPr>
            <w:r>
              <w:rPr>
                <w:rFonts w:hint="eastAsia" w:ascii="宋体" w:hAnsi="宋体"/>
                <w:bCs/>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bCs/>
              </w:rPr>
            </w:pPr>
            <w:r>
              <w:rPr>
                <w:rFonts w:hint="eastAsia" w:ascii="宋体" w:hAnsi="宋体"/>
                <w:bCs/>
              </w:rPr>
              <w:t>价格评审</w:t>
            </w:r>
          </w:p>
        </w:tc>
        <w:tc>
          <w:tcPr>
            <w:tcW w:w="4536"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left"/>
              <w:rPr>
                <w:rFonts w:hint="eastAsia" w:ascii="宋体" w:hAnsi="宋体" w:eastAsia="楷体_GB2312"/>
                <w:bCs/>
              </w:rPr>
            </w:pPr>
            <w:r>
              <w:rPr>
                <w:rFonts w:hint="eastAsia" w:ascii="宋体" w:hAnsi="宋体"/>
                <w:bCs/>
              </w:rPr>
              <w:t>满足招标文件要求且报价最低的为评审基准价，价格得分=（评审基准价/报价）×标准分值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spacing w:line="276" w:lineRule="auto"/>
              <w:jc w:val="center"/>
              <w:rPr>
                <w:rFonts w:hint="eastAsia" w:ascii="宋体" w:hAnsi="宋体"/>
                <w:bCs/>
              </w:rPr>
            </w:pPr>
            <w:r>
              <w:rPr>
                <w:rFonts w:hint="eastAsia" w:ascii="宋体" w:hAnsi="宋体"/>
                <w:bCs/>
              </w:rPr>
              <w:t>30</w:t>
            </w:r>
          </w:p>
        </w:tc>
        <w:tc>
          <w:tcPr>
            <w:tcW w:w="1098" w:type="dxa"/>
            <w:tcBorders>
              <w:top w:val="single" w:color="auto" w:sz="4" w:space="0"/>
              <w:left w:val="single" w:color="auto" w:sz="4" w:space="0"/>
              <w:bottom w:val="single" w:color="auto" w:sz="4" w:space="0"/>
              <w:right w:val="single" w:color="auto" w:sz="4" w:space="0"/>
            </w:tcBorders>
          </w:tcPr>
          <w:p>
            <w:pPr>
              <w:widowControl/>
              <w:snapToGrid w:val="0"/>
              <w:spacing w:line="276" w:lineRule="auto"/>
              <w:jc w:val="center"/>
              <w:rPr>
                <w:rFonts w:hint="eastAsia" w:ascii="宋体" w:hAnsi="宋体"/>
                <w:bCs/>
              </w:rPr>
            </w:pPr>
          </w:p>
        </w:tc>
      </w:tr>
    </w:tbl>
    <w:p>
      <w:pPr>
        <w:widowControl/>
        <w:jc w:val="left"/>
        <w:sectPr>
          <w:pgSz w:w="11906" w:h="16838"/>
          <w:pgMar w:top="1418" w:right="1134" w:bottom="1418" w:left="1418" w:header="851" w:footer="851" w:gutter="0"/>
          <w:pgNumType w:start="74"/>
          <w:cols w:space="720" w:num="1"/>
        </w:sectPr>
      </w:pPr>
    </w:p>
    <w:p>
      <w:pPr>
        <w:pStyle w:val="6"/>
        <w:keepNext w:val="0"/>
        <w:keepLines w:val="0"/>
        <w:adjustRightInd w:val="0"/>
        <w:snapToGrid w:val="0"/>
        <w:spacing w:line="560" w:lineRule="exact"/>
        <w:jc w:val="center"/>
        <w:rPr>
          <w:rFonts w:hint="eastAsia"/>
          <w:b w:val="0"/>
          <w:bCs/>
          <w:kern w:val="2"/>
          <w:sz w:val="44"/>
          <w:szCs w:val="44"/>
          <w:lang w:val="zh-CN"/>
        </w:rPr>
      </w:pPr>
      <w:bookmarkStart w:id="490" w:name="_Toc128150775"/>
      <w:bookmarkStart w:id="491" w:name="_Toc128150131"/>
      <w:bookmarkStart w:id="492" w:name="_Toc128151024"/>
      <w:bookmarkStart w:id="493" w:name="_Toc130657535"/>
      <w:bookmarkStart w:id="494" w:name="_Toc130887497"/>
      <w:bookmarkStart w:id="495" w:name="_Toc130886996"/>
      <w:bookmarkStart w:id="496" w:name="_Toc132190631"/>
      <w:bookmarkStart w:id="497" w:name="_Toc130657989"/>
      <w:bookmarkStart w:id="498" w:name="_Toc127820561"/>
      <w:bookmarkStart w:id="499" w:name="_Toc17342"/>
      <w:bookmarkStart w:id="500" w:name="_Toc128397967"/>
      <w:r>
        <w:rPr>
          <w:rFonts w:hint="eastAsia"/>
          <w:b w:val="0"/>
          <w:szCs w:val="44"/>
          <w:lang w:val="zh-CN"/>
        </w:rPr>
        <w:t>第五章</w:t>
      </w:r>
      <w:r>
        <w:rPr>
          <w:b w:val="0"/>
          <w:szCs w:val="44"/>
          <w:lang w:val="zh-CN"/>
        </w:rPr>
        <w:t xml:space="preserve"> </w:t>
      </w:r>
      <w:r>
        <w:rPr>
          <w:rFonts w:hint="eastAsia"/>
          <w:b w:val="0"/>
          <w:szCs w:val="44"/>
          <w:lang w:val="zh-CN"/>
        </w:rPr>
        <w:t>招标公告</w:t>
      </w:r>
      <w:bookmarkEnd w:id="429"/>
      <w:bookmarkEnd w:id="430"/>
      <w:bookmarkEnd w:id="431"/>
      <w:bookmarkEnd w:id="432"/>
      <w:bookmarkEnd w:id="490"/>
      <w:bookmarkEnd w:id="491"/>
      <w:bookmarkEnd w:id="492"/>
      <w:bookmarkEnd w:id="493"/>
      <w:bookmarkEnd w:id="494"/>
      <w:bookmarkEnd w:id="495"/>
      <w:bookmarkEnd w:id="496"/>
      <w:bookmarkEnd w:id="497"/>
      <w:bookmarkEnd w:id="498"/>
      <w:bookmarkEnd w:id="499"/>
      <w:bookmarkEnd w:id="500"/>
    </w:p>
    <w:p>
      <w:pPr>
        <w:spacing w:line="560" w:lineRule="exact"/>
        <w:ind w:firstLine="562" w:firstLineChars="200"/>
        <w:rPr>
          <w:b/>
          <w:sz w:val="28"/>
          <w:szCs w:val="28"/>
        </w:rPr>
      </w:pPr>
      <w:r>
        <w:rPr>
          <w:rFonts w:hint="eastAsia"/>
          <w:b/>
          <w:sz w:val="28"/>
          <w:szCs w:val="28"/>
          <w:lang w:eastAsia="zh-CN"/>
        </w:rPr>
        <w:t>2024年某医院下半年医疗设备采购项目（</w:t>
      </w:r>
      <w:r>
        <w:rPr>
          <w:rFonts w:hint="eastAsia"/>
          <w:b/>
          <w:sz w:val="28"/>
          <w:szCs w:val="28"/>
          <w:lang w:val="en-US" w:eastAsia="zh-CN"/>
        </w:rPr>
        <w:t>10包</w:t>
      </w:r>
      <w:r>
        <w:rPr>
          <w:rFonts w:hint="eastAsia"/>
          <w:b/>
          <w:sz w:val="28"/>
          <w:szCs w:val="28"/>
          <w:lang w:eastAsia="zh-CN"/>
        </w:rPr>
        <w:t>）（</w:t>
      </w:r>
      <w:r>
        <w:rPr>
          <w:rFonts w:hint="eastAsia"/>
          <w:b/>
          <w:sz w:val="28"/>
          <w:szCs w:val="28"/>
          <w:lang w:val="en-US" w:eastAsia="zh-CN"/>
        </w:rPr>
        <w:t>二次</w:t>
      </w:r>
      <w:r>
        <w:rPr>
          <w:rFonts w:hint="eastAsia"/>
          <w:b/>
          <w:sz w:val="28"/>
          <w:szCs w:val="28"/>
          <w:lang w:eastAsia="zh-CN"/>
        </w:rPr>
        <w:t>）</w:t>
      </w:r>
      <w:r>
        <w:rPr>
          <w:rFonts w:hint="eastAsia"/>
          <w:b/>
          <w:sz w:val="28"/>
          <w:szCs w:val="28"/>
        </w:rPr>
        <w:t>招标公告</w:t>
      </w:r>
    </w:p>
    <w:p>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pPr>
        <w:spacing w:line="560" w:lineRule="exact"/>
        <w:ind w:firstLine="560" w:firstLineChars="200"/>
        <w:rPr>
          <w:rFonts w:hint="default" w:eastAsia="黑体"/>
          <w:bCs/>
          <w:sz w:val="28"/>
          <w:szCs w:val="28"/>
          <w:lang w:val="en-US" w:eastAsia="zh-CN"/>
        </w:rPr>
      </w:pPr>
      <w:r>
        <w:rPr>
          <w:rFonts w:hint="eastAsia" w:eastAsia="黑体"/>
          <w:bCs/>
          <w:sz w:val="28"/>
          <w:szCs w:val="28"/>
        </w:rPr>
        <w:t>一、项目名称：</w:t>
      </w:r>
      <w:r>
        <w:rPr>
          <w:rFonts w:hint="eastAsia" w:eastAsia="黑体"/>
          <w:bCs/>
          <w:sz w:val="28"/>
          <w:szCs w:val="28"/>
          <w:lang w:eastAsia="zh-CN"/>
        </w:rPr>
        <w:t>2024年某医院下半年医疗设备采购项目（</w:t>
      </w:r>
      <w:r>
        <w:rPr>
          <w:rFonts w:hint="eastAsia" w:eastAsia="黑体"/>
          <w:bCs/>
          <w:sz w:val="28"/>
          <w:szCs w:val="28"/>
          <w:lang w:val="en-US" w:eastAsia="zh-CN"/>
        </w:rPr>
        <w:t>10包</w:t>
      </w:r>
      <w:r>
        <w:rPr>
          <w:rFonts w:hint="eastAsia" w:eastAsia="黑体"/>
          <w:bCs/>
          <w:sz w:val="28"/>
          <w:szCs w:val="28"/>
          <w:lang w:eastAsia="zh-CN"/>
        </w:rPr>
        <w:t>）（</w:t>
      </w:r>
      <w:r>
        <w:rPr>
          <w:rFonts w:hint="eastAsia" w:eastAsia="黑体"/>
          <w:bCs/>
          <w:sz w:val="28"/>
          <w:szCs w:val="28"/>
          <w:lang w:val="en-US" w:eastAsia="zh-CN"/>
        </w:rPr>
        <w:t>二次</w:t>
      </w:r>
      <w:r>
        <w:rPr>
          <w:rFonts w:hint="eastAsia" w:eastAsia="黑体"/>
          <w:bCs/>
          <w:sz w:val="28"/>
          <w:szCs w:val="28"/>
          <w:lang w:eastAsia="zh-CN"/>
        </w:rPr>
        <w:t>）</w:t>
      </w:r>
    </w:p>
    <w:p>
      <w:pPr>
        <w:tabs>
          <w:tab w:val="left" w:pos="0"/>
          <w:tab w:val="left" w:pos="1122"/>
        </w:tabs>
        <w:spacing w:line="560" w:lineRule="exact"/>
        <w:ind w:firstLine="560" w:firstLineChars="200"/>
        <w:rPr>
          <w:rFonts w:hint="eastAsia"/>
          <w:bCs/>
          <w:sz w:val="28"/>
          <w:szCs w:val="28"/>
        </w:rPr>
      </w:pPr>
      <w:r>
        <w:rPr>
          <w:rFonts w:hint="eastAsia" w:eastAsia="黑体"/>
          <w:bCs/>
          <w:sz w:val="28"/>
          <w:szCs w:val="28"/>
        </w:rPr>
        <w:t>二、</w:t>
      </w:r>
      <w:r>
        <w:rPr>
          <w:rFonts w:hint="eastAsia" w:eastAsia="黑体"/>
          <w:bCs/>
          <w:sz w:val="28"/>
          <w:szCs w:val="28"/>
          <w:highlight w:val="none"/>
        </w:rPr>
        <w:t>项目编号：</w:t>
      </w:r>
      <w:r>
        <w:rPr>
          <w:rFonts w:hint="eastAsia" w:eastAsia="黑体"/>
          <w:bCs/>
          <w:sz w:val="28"/>
          <w:szCs w:val="28"/>
          <w:highlight w:val="none"/>
          <w:lang w:eastAsia="zh-CN"/>
        </w:rPr>
        <w:t>2024-JLJ</w:t>
      </w:r>
      <w:r>
        <w:rPr>
          <w:rFonts w:hint="eastAsia" w:eastAsia="黑体"/>
          <w:bCs/>
          <w:sz w:val="28"/>
          <w:szCs w:val="28"/>
          <w:highlight w:val="none"/>
          <w:lang w:val="en-US" w:eastAsia="zh-CN"/>
        </w:rPr>
        <w:t>A</w:t>
      </w:r>
      <w:r>
        <w:rPr>
          <w:rFonts w:hint="eastAsia" w:eastAsia="黑体"/>
          <w:bCs/>
          <w:sz w:val="28"/>
          <w:szCs w:val="28"/>
          <w:highlight w:val="none"/>
          <w:lang w:eastAsia="zh-CN"/>
        </w:rPr>
        <w:t>AA-W3026</w:t>
      </w:r>
    </w:p>
    <w:p>
      <w:pPr>
        <w:tabs>
          <w:tab w:val="left" w:pos="0"/>
          <w:tab w:val="left" w:pos="1122"/>
        </w:tabs>
        <w:spacing w:line="560" w:lineRule="exact"/>
        <w:ind w:firstLine="560" w:firstLineChars="200"/>
        <w:rPr>
          <w:rFonts w:hint="eastAsia" w:eastAsia="黑体"/>
          <w:bCs/>
          <w:sz w:val="28"/>
          <w:szCs w:val="28"/>
          <w:highlight w:val="none"/>
        </w:rPr>
      </w:pPr>
      <w:r>
        <w:rPr>
          <w:rFonts w:hint="eastAsia" w:eastAsia="黑体"/>
          <w:bCs/>
          <w:sz w:val="28"/>
          <w:szCs w:val="28"/>
          <w:highlight w:val="none"/>
        </w:rPr>
        <w:t>三、项目概况：</w:t>
      </w:r>
    </w:p>
    <w:p>
      <w:pPr>
        <w:spacing w:line="560" w:lineRule="exact"/>
        <w:ind w:firstLine="560" w:firstLineChars="200"/>
        <w:rPr>
          <w:rFonts w:hint="eastAsia"/>
          <w:bCs/>
          <w:sz w:val="28"/>
          <w:szCs w:val="28"/>
        </w:rPr>
      </w:pPr>
      <w:r>
        <w:rPr>
          <w:rFonts w:hint="eastAsia"/>
          <w:bCs/>
          <w:sz w:val="28"/>
          <w:szCs w:val="28"/>
        </w:rPr>
        <w:t>1.本项目是否接受联合体</w:t>
      </w:r>
      <w:r>
        <w:rPr>
          <w:rFonts w:hint="eastAsia"/>
          <w:bCs/>
          <w:sz w:val="28"/>
          <w:szCs w:val="28"/>
          <w:lang w:eastAsia="zh-CN"/>
        </w:rPr>
        <w:t>投标</w:t>
      </w:r>
      <w:r>
        <w:rPr>
          <w:rFonts w:hint="eastAsia"/>
          <w:bCs/>
          <w:sz w:val="28"/>
          <w:szCs w:val="28"/>
        </w:rPr>
        <w:t>：不接受   ；</w:t>
      </w:r>
    </w:p>
    <w:p>
      <w:pPr>
        <w:spacing w:line="560" w:lineRule="exact"/>
        <w:ind w:firstLine="560" w:firstLineChars="200"/>
        <w:rPr>
          <w:rFonts w:hint="eastAsia"/>
          <w:bCs/>
          <w:sz w:val="28"/>
          <w:szCs w:val="28"/>
        </w:rPr>
      </w:pPr>
      <w:r>
        <w:rPr>
          <w:rFonts w:hint="eastAsia"/>
          <w:bCs/>
          <w:sz w:val="28"/>
          <w:szCs w:val="28"/>
        </w:rPr>
        <w:t>2.项目预算：</w:t>
      </w:r>
      <w:r>
        <w:rPr>
          <w:rFonts w:hint="eastAsia"/>
          <w:bCs/>
          <w:sz w:val="28"/>
          <w:szCs w:val="28"/>
          <w:lang w:val="en-US" w:eastAsia="zh-CN"/>
        </w:rPr>
        <w:t xml:space="preserve">  </w:t>
      </w:r>
      <w:r>
        <w:rPr>
          <w:rFonts w:hint="eastAsia"/>
          <w:bCs/>
          <w:sz w:val="28"/>
          <w:szCs w:val="28"/>
        </w:rPr>
        <w:t>万元，各包号预算详见采购内容。</w:t>
      </w:r>
    </w:p>
    <w:p>
      <w:pPr>
        <w:spacing w:line="560" w:lineRule="exact"/>
        <w:ind w:firstLine="560" w:firstLineChars="200"/>
        <w:rPr>
          <w:rFonts w:hint="eastAsia"/>
          <w:bCs/>
          <w:sz w:val="28"/>
          <w:szCs w:val="28"/>
        </w:rPr>
      </w:pPr>
      <w:r>
        <w:rPr>
          <w:rFonts w:hint="eastAsia"/>
          <w:bCs/>
          <w:sz w:val="28"/>
          <w:szCs w:val="28"/>
        </w:rPr>
        <w:t>3.最高限价：</w:t>
      </w:r>
      <w:r>
        <w:rPr>
          <w:rFonts w:hint="eastAsia"/>
          <w:bCs/>
          <w:sz w:val="28"/>
          <w:szCs w:val="28"/>
          <w:lang w:val="en-US" w:eastAsia="zh-CN"/>
        </w:rPr>
        <w:t xml:space="preserve">  </w:t>
      </w:r>
      <w:r>
        <w:rPr>
          <w:rFonts w:hint="eastAsia"/>
          <w:bCs/>
          <w:sz w:val="28"/>
          <w:szCs w:val="28"/>
        </w:rPr>
        <w:t>万元，各包号预算详见采购内容。</w:t>
      </w:r>
    </w:p>
    <w:p>
      <w:pPr>
        <w:spacing w:line="560" w:lineRule="exact"/>
        <w:ind w:firstLine="560" w:firstLineChars="200"/>
        <w:rPr>
          <w:rFonts w:hint="eastAsia"/>
          <w:bCs/>
          <w:sz w:val="28"/>
          <w:szCs w:val="28"/>
        </w:rPr>
      </w:pPr>
      <w:r>
        <w:rPr>
          <w:rFonts w:hint="eastAsia"/>
          <w:bCs/>
          <w:sz w:val="28"/>
          <w:szCs w:val="28"/>
        </w:rPr>
        <w:t>4.本项目</w:t>
      </w:r>
      <w:r>
        <w:rPr>
          <w:rFonts w:hint="eastAsia"/>
          <w:bCs/>
          <w:sz w:val="28"/>
          <w:szCs w:val="28"/>
          <w:lang w:val="en-US" w:eastAsia="zh-CN"/>
        </w:rPr>
        <w:t>各</w:t>
      </w:r>
      <w:r>
        <w:rPr>
          <w:rFonts w:hint="eastAsia"/>
          <w:bCs/>
          <w:sz w:val="28"/>
          <w:szCs w:val="28"/>
        </w:rPr>
        <w:t>包确定 1  家供应商成交，成交数量比例按 / 计算，成交价格确定方式按照 / 执行。</w:t>
      </w:r>
    </w:p>
    <w:p>
      <w:pPr>
        <w:spacing w:line="560" w:lineRule="exact"/>
        <w:ind w:firstLine="560" w:firstLineChars="200"/>
        <w:rPr>
          <w:rFonts w:hint="eastAsia"/>
          <w:bCs/>
          <w:sz w:val="28"/>
          <w:szCs w:val="28"/>
          <w:lang w:val="en-US" w:eastAsia="zh-CN"/>
        </w:rPr>
      </w:pPr>
      <w:r>
        <w:rPr>
          <w:rFonts w:hint="eastAsia"/>
          <w:bCs/>
          <w:sz w:val="28"/>
          <w:szCs w:val="28"/>
          <w:lang w:val="en-US" w:eastAsia="zh-CN"/>
        </w:rPr>
        <w:t>本项目允许兼投兼中</w:t>
      </w:r>
    </w:p>
    <w:p>
      <w:pPr>
        <w:spacing w:line="560" w:lineRule="exact"/>
        <w:ind w:firstLine="560" w:firstLineChars="200"/>
        <w:rPr>
          <w:rFonts w:hint="eastAsia"/>
          <w:lang w:val="en-US" w:eastAsia="zh-CN"/>
        </w:rPr>
      </w:pPr>
      <w:r>
        <w:rPr>
          <w:rFonts w:hint="eastAsia"/>
          <w:bCs/>
          <w:sz w:val="28"/>
          <w:szCs w:val="28"/>
          <w:lang w:val="en-US" w:eastAsia="zh-CN"/>
        </w:rPr>
        <w:t>10包设备名称：肝功能剪切波量化检测仪</w:t>
      </w:r>
    </w:p>
    <w:tbl>
      <w:tblPr>
        <w:tblStyle w:val="45"/>
        <w:tblpPr w:leftFromText="180" w:rightFromText="180" w:vertAnchor="text" w:horzAnchor="page" w:tblpX="1511" w:tblpY="340"/>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4410"/>
        <w:gridCol w:w="1215"/>
        <w:gridCol w:w="870"/>
        <w:gridCol w:w="136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64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p>
        </w:tc>
        <w:tc>
          <w:tcPr>
            <w:tcW w:w="108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包号</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设备</w:t>
            </w:r>
            <w:r>
              <w:rPr>
                <w:rFonts w:hint="eastAsia" w:ascii="宋体" w:hAnsi="宋体" w:eastAsia="宋体" w:cs="宋体"/>
                <w:b/>
                <w:bCs/>
                <w:i w:val="0"/>
                <w:iCs w:val="0"/>
                <w:color w:val="000000"/>
                <w:kern w:val="0"/>
                <w:sz w:val="24"/>
                <w:szCs w:val="24"/>
                <w:u w:val="none"/>
                <w:lang w:val="en-US" w:eastAsia="zh-CN" w:bidi="ar"/>
              </w:rPr>
              <w:t>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数量（台、件）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预算单价（万元）</w:t>
            </w:r>
          </w:p>
        </w:tc>
        <w:tc>
          <w:tcPr>
            <w:tcW w:w="13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预算金额（万元）</w:t>
            </w:r>
          </w:p>
        </w:tc>
        <w:tc>
          <w:tcPr>
            <w:tcW w:w="1080" w:type="dxa"/>
            <w:tcBorders>
              <w:top w:val="single" w:color="auto" w:sz="4" w:space="0"/>
              <w:left w:val="nil"/>
              <w:bottom w:val="nil"/>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cs="宋体"/>
                <w:i w:val="0"/>
                <w:iCs w:val="0"/>
                <w:color w:val="000000"/>
                <w:kern w:val="0"/>
                <w:sz w:val="28"/>
                <w:szCs w:val="28"/>
                <w:u w:val="none"/>
                <w:lang w:val="en-US" w:eastAsia="zh-CN" w:bidi="ar"/>
              </w:rPr>
              <w:t>10</w:t>
            </w:r>
          </w:p>
        </w:tc>
        <w:tc>
          <w:tcPr>
            <w:tcW w:w="4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肝功能剪切波量化检测仪</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1080"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u w:val="none"/>
                <w:lang w:val="en-US" w:eastAsia="zh-CN" w:bidi="ar"/>
              </w:rPr>
              <w:t>85</w:t>
            </w:r>
          </w:p>
        </w:tc>
      </w:tr>
    </w:tbl>
    <w:p>
      <w:pPr>
        <w:rPr>
          <w:rFonts w:hint="default"/>
          <w:lang w:val="en-US" w:eastAsia="zh-CN"/>
        </w:rPr>
      </w:pPr>
    </w:p>
    <w:p>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四、投标供应商资格条件</w:t>
      </w:r>
    </w:p>
    <w:p>
      <w:pPr>
        <w:spacing w:line="560" w:lineRule="exact"/>
        <w:ind w:firstLine="560" w:firstLineChars="200"/>
        <w:rPr>
          <w:rFonts w:ascii="宋体" w:hAnsi="宋体"/>
          <w:bCs/>
          <w:sz w:val="28"/>
          <w:szCs w:val="28"/>
        </w:rPr>
      </w:pPr>
      <w:r>
        <w:rPr>
          <w:rFonts w:hint="eastAsia" w:ascii="宋体" w:hAnsi="宋体"/>
          <w:bCs/>
          <w:sz w:val="28"/>
          <w:szCs w:val="28"/>
        </w:rPr>
        <w:t>（一）符合《中华人民共和国政府采购法》第二十二条资格条件：</w:t>
      </w:r>
    </w:p>
    <w:p>
      <w:pPr>
        <w:spacing w:line="560" w:lineRule="exact"/>
        <w:ind w:firstLine="560" w:firstLineChars="200"/>
        <w:rPr>
          <w:rFonts w:hint="eastAsia" w:ascii="宋体" w:hAnsi="宋体"/>
          <w:bCs/>
          <w:sz w:val="28"/>
          <w:szCs w:val="28"/>
        </w:rPr>
      </w:pPr>
      <w:r>
        <w:rPr>
          <w:rFonts w:hint="eastAsia" w:ascii="宋体" w:hAnsi="宋体"/>
          <w:bCs/>
          <w:sz w:val="28"/>
          <w:szCs w:val="28"/>
        </w:rPr>
        <w:t>1.具有独立承担民事责任的能力；【企业法人须提供“统一社会信用代码营业执照”；事业单位须提供“统一社会信用代码法人登记书”；军队单位不作要求】</w:t>
      </w:r>
    </w:p>
    <w:p>
      <w:pPr>
        <w:spacing w:line="560" w:lineRule="exact"/>
        <w:ind w:firstLine="560" w:firstLineChars="200"/>
        <w:rPr>
          <w:rFonts w:hint="eastAsia" w:ascii="宋体" w:hAnsi="宋体"/>
          <w:bCs/>
          <w:sz w:val="28"/>
          <w:szCs w:val="28"/>
        </w:rPr>
      </w:pPr>
      <w:r>
        <w:rPr>
          <w:rFonts w:hint="eastAsia" w:ascii="宋体" w:hAnsi="宋体"/>
          <w:bCs/>
          <w:sz w:val="28"/>
          <w:szCs w:val="28"/>
        </w:rPr>
        <w:t>2.具有良好的商业信誉和健全的财务会计制度；【提供近三年经第三方审计的审计报告】</w:t>
      </w:r>
    </w:p>
    <w:p>
      <w:pPr>
        <w:spacing w:line="560" w:lineRule="exact"/>
        <w:ind w:firstLine="560" w:firstLineChars="200"/>
        <w:rPr>
          <w:rFonts w:hint="eastAsia" w:ascii="宋体" w:hAnsi="宋体"/>
          <w:bCs/>
          <w:sz w:val="28"/>
          <w:szCs w:val="28"/>
        </w:rPr>
      </w:pPr>
      <w:r>
        <w:rPr>
          <w:rFonts w:hint="eastAsia" w:ascii="宋体" w:hAnsi="宋体"/>
          <w:bCs/>
          <w:sz w:val="28"/>
          <w:szCs w:val="28"/>
        </w:rPr>
        <w:t>3.具有履行合同所必需的设备和专业技术能力；【提供《投标供应商承诺声明》】</w:t>
      </w:r>
    </w:p>
    <w:p>
      <w:pPr>
        <w:spacing w:line="560" w:lineRule="exact"/>
        <w:ind w:firstLine="560" w:firstLineChars="200"/>
        <w:rPr>
          <w:rFonts w:hint="eastAsia" w:ascii="宋体" w:hAnsi="宋体"/>
          <w:bCs/>
          <w:sz w:val="28"/>
          <w:szCs w:val="28"/>
        </w:rPr>
      </w:pPr>
      <w:r>
        <w:rPr>
          <w:rFonts w:hint="eastAsia" w:ascii="宋体" w:hAnsi="宋体"/>
          <w:bCs/>
          <w:sz w:val="28"/>
          <w:szCs w:val="28"/>
        </w:rPr>
        <w:t>4.有依法缴纳税收和社会保障资金的良好记录；【提供投标供应商近1年（至投标时间截止前）任意6个月纳税的证明材料及缴纳社会保障金的证明材料】</w:t>
      </w:r>
    </w:p>
    <w:p>
      <w:pPr>
        <w:spacing w:line="560" w:lineRule="exact"/>
        <w:ind w:firstLine="560" w:firstLineChars="200"/>
        <w:rPr>
          <w:rFonts w:hint="eastAsia" w:ascii="宋体" w:hAnsi="宋体"/>
          <w:bCs/>
          <w:sz w:val="28"/>
          <w:szCs w:val="28"/>
        </w:rPr>
      </w:pPr>
      <w:r>
        <w:rPr>
          <w:rFonts w:hint="eastAsia" w:ascii="宋体" w:hAnsi="宋体"/>
          <w:bCs/>
          <w:sz w:val="28"/>
          <w:szCs w:val="28"/>
        </w:rPr>
        <w:t>5.参加政府采购活动前3年内，在经营活动中没有重大违法记录；【提供《投标供应商承诺声明》】</w:t>
      </w:r>
    </w:p>
    <w:p>
      <w:pPr>
        <w:spacing w:line="560" w:lineRule="exact"/>
        <w:ind w:firstLine="560" w:firstLineChars="200"/>
        <w:rPr>
          <w:rFonts w:hint="eastAsia" w:ascii="宋体" w:hAnsi="宋体"/>
          <w:bCs/>
          <w:sz w:val="28"/>
          <w:szCs w:val="28"/>
        </w:rPr>
      </w:pPr>
      <w:r>
        <w:rPr>
          <w:rFonts w:hint="eastAsia" w:ascii="宋体" w:hAnsi="宋体"/>
          <w:bCs/>
          <w:sz w:val="28"/>
          <w:szCs w:val="28"/>
        </w:rPr>
        <w:t>6.法律、行政法规规定的其他条件。【提供《投标供应商承诺声明》】</w:t>
      </w:r>
    </w:p>
    <w:p>
      <w:pPr>
        <w:snapToGrid w:val="0"/>
        <w:spacing w:line="560" w:lineRule="exact"/>
        <w:ind w:firstLine="560" w:firstLineChars="200"/>
        <w:rPr>
          <w:rFonts w:hint="eastAsia" w:ascii="宋体" w:hAnsi="宋体"/>
          <w:bCs/>
          <w:sz w:val="28"/>
          <w:szCs w:val="28"/>
        </w:rPr>
      </w:pPr>
      <w:r>
        <w:rPr>
          <w:rFonts w:hint="eastAsia" w:ascii="宋体" w:hAnsi="宋体"/>
          <w:bCs/>
          <w:sz w:val="28"/>
          <w:szCs w:val="28"/>
        </w:rPr>
        <w:t>（二）国有企业；事业单位；军队单位；成立3年以上的非外资独资企业或控股企业。</w:t>
      </w:r>
    </w:p>
    <w:p>
      <w:pPr>
        <w:tabs>
          <w:tab w:val="left" w:pos="0"/>
        </w:tabs>
        <w:spacing w:line="560" w:lineRule="exact"/>
        <w:ind w:firstLine="560" w:firstLineChars="200"/>
        <w:rPr>
          <w:rFonts w:hint="eastAsia" w:ascii="宋体" w:hAnsi="宋体"/>
          <w:bCs/>
          <w:sz w:val="28"/>
          <w:szCs w:val="28"/>
        </w:rPr>
      </w:pPr>
      <w:r>
        <w:rPr>
          <w:rFonts w:hint="eastAsia" w:ascii="宋体" w:hAnsi="宋体"/>
          <w:bCs/>
          <w:sz w:val="28"/>
          <w:szCs w:val="28"/>
        </w:rPr>
        <w:t>（三）单位负责人为同一人或存在直接控股</w:t>
      </w:r>
      <w:bookmarkStart w:id="501" w:name="_Hlk129939056"/>
      <w:r>
        <w:rPr>
          <w:rFonts w:hint="eastAsia" w:ascii="宋体" w:hAnsi="宋体"/>
          <w:bCs/>
          <w:sz w:val="28"/>
          <w:szCs w:val="28"/>
        </w:rPr>
        <w:t>或</w:t>
      </w:r>
      <w:bookmarkEnd w:id="501"/>
      <w:r>
        <w:rPr>
          <w:rFonts w:hint="eastAsia" w:ascii="宋体" w:hAnsi="宋体"/>
          <w:bCs/>
          <w:sz w:val="28"/>
          <w:szCs w:val="28"/>
        </w:rPr>
        <w:t>管理关系的不同供应商，不得同时参加同一包的采购活动。生产场经营地址或注册登记地址为同一地址的不同生产型企业，股东和管理人员（法定代表人、董事或监事）之间存在近亲属</w:t>
      </w:r>
      <w:bookmarkStart w:id="502" w:name="_Hlk130321366"/>
      <w:r>
        <w:rPr>
          <w:rFonts w:hint="eastAsia" w:ascii="宋体" w:hAnsi="宋体"/>
          <w:bCs/>
          <w:sz w:val="28"/>
          <w:szCs w:val="28"/>
        </w:rPr>
        <w:t>或</w:t>
      </w:r>
      <w:bookmarkEnd w:id="502"/>
      <w:r>
        <w:rPr>
          <w:rFonts w:hint="eastAsia" w:ascii="宋体" w:hAnsi="宋体"/>
          <w:bCs/>
          <w:sz w:val="28"/>
          <w:szCs w:val="28"/>
        </w:rPr>
        <w:t>相互占股等关联关系的不同非国有销售型企业，也不得同时参加同一包的采购活动。近亲属指夫妻、直系血亲、三代以内旁系血亲或近姻亲关系。【提供《投标供应商承诺声明》】</w:t>
      </w:r>
    </w:p>
    <w:p>
      <w:pPr>
        <w:spacing w:line="560" w:lineRule="exact"/>
        <w:ind w:firstLine="560" w:firstLineChars="200"/>
        <w:rPr>
          <w:rFonts w:hint="eastAsia" w:ascii="宋体" w:hAnsi="宋体"/>
          <w:bCs/>
          <w:sz w:val="28"/>
          <w:szCs w:val="28"/>
        </w:rPr>
      </w:pPr>
      <w:r>
        <w:rPr>
          <w:rFonts w:hint="eastAsia" w:ascii="宋体" w:hAnsi="宋体"/>
          <w:bCs/>
          <w:sz w:val="28"/>
          <w:szCs w:val="28"/>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提供《投标供应商承诺声明》】</w:t>
      </w:r>
    </w:p>
    <w:p>
      <w:pPr>
        <w:spacing w:line="560" w:lineRule="exact"/>
        <w:ind w:firstLine="560" w:firstLineChars="200"/>
        <w:rPr>
          <w:rFonts w:hint="eastAsia" w:ascii="宋体" w:hAnsi="宋体"/>
          <w:bCs/>
          <w:sz w:val="28"/>
          <w:szCs w:val="28"/>
        </w:rPr>
      </w:pPr>
      <w:r>
        <w:rPr>
          <w:rFonts w:hint="eastAsia" w:ascii="宋体" w:hAnsi="宋体"/>
          <w:bCs/>
          <w:sz w:val="28"/>
          <w:szCs w:val="28"/>
        </w:rPr>
        <w:t>（五）本项目不接受联合体投标。【提供《投标供应商承诺声明》】</w:t>
      </w:r>
    </w:p>
    <w:p>
      <w:pPr>
        <w:spacing w:line="560" w:lineRule="exact"/>
        <w:ind w:firstLine="560" w:firstLineChars="200"/>
        <w:rPr>
          <w:rFonts w:hint="eastAsia" w:ascii="宋体" w:hAnsi="宋体"/>
          <w:bCs/>
          <w:sz w:val="28"/>
          <w:szCs w:val="28"/>
        </w:rPr>
      </w:pPr>
      <w:r>
        <w:rPr>
          <w:rFonts w:hint="eastAsia" w:ascii="宋体" w:hAnsi="宋体"/>
          <w:bCs/>
          <w:sz w:val="28"/>
          <w:szCs w:val="28"/>
        </w:rPr>
        <w:t>（六）本项目特定资质：1、所投产品属于第二类医疗器械的，还需提供有效的行政主管部门颁发的医疗器械经营备案凭证或医疗器械经营（生产）许可证，经营范围需包含本次项目的内容；所投产品属于第三类医疗器械的，还需提供有效的行政主管部门颁发的医疗器械经营（生产）许可证，经营范围需包含本次项目的内容；（注：所投标包如涉须提供）</w:t>
      </w:r>
    </w:p>
    <w:p>
      <w:pPr>
        <w:spacing w:line="560" w:lineRule="exact"/>
        <w:ind w:firstLine="560" w:firstLineChars="200"/>
        <w:rPr>
          <w:rFonts w:hint="eastAsia" w:ascii="宋体" w:hAnsi="宋体"/>
          <w:bCs/>
          <w:sz w:val="28"/>
          <w:szCs w:val="28"/>
        </w:rPr>
      </w:pPr>
      <w:r>
        <w:rPr>
          <w:rFonts w:hint="eastAsia" w:ascii="宋体" w:hAnsi="宋体"/>
          <w:bCs/>
          <w:sz w:val="28"/>
          <w:szCs w:val="28"/>
        </w:rPr>
        <w:t xml:space="preserve"> 2、投标供应商所投产品须具备医疗器械注册证；（注：所投标包如涉须提供）</w:t>
      </w:r>
    </w:p>
    <w:p>
      <w:pPr>
        <w:spacing w:line="560" w:lineRule="exact"/>
        <w:ind w:firstLine="560" w:firstLineChars="200"/>
        <w:rPr>
          <w:rFonts w:hint="eastAsia" w:ascii="宋体" w:hAnsi="宋体"/>
          <w:bCs/>
          <w:sz w:val="28"/>
          <w:szCs w:val="28"/>
        </w:rPr>
      </w:pPr>
      <w:r>
        <w:rPr>
          <w:rFonts w:hint="eastAsia" w:ascii="宋体" w:hAnsi="宋体"/>
          <w:bCs/>
          <w:sz w:val="28"/>
          <w:szCs w:val="28"/>
        </w:rPr>
        <w:t>3、投标产品若为进口产品时报价供应商须提供厂家或中国总代针对本项目所投产品的授权证明文件（如为中国总代出具的授权证明文件，须有总代与厂家关系的文件）（注：所投标包如涉须提供）</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五、招标文件申领时间、地点、方式</w:t>
      </w:r>
    </w:p>
    <w:p>
      <w:pPr>
        <w:tabs>
          <w:tab w:val="left" w:pos="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（一）申领时间：</w:t>
      </w:r>
      <w:r>
        <w:rPr>
          <w:rFonts w:hint="eastAsia" w:ascii="宋体" w:hAnsi="宋体" w:eastAsia="宋体" w:cs="宋体"/>
          <w:bCs/>
          <w:sz w:val="28"/>
          <w:szCs w:val="28"/>
          <w:highlight w:val="none"/>
          <w:lang w:val="en-US" w:eastAsia="zh-CN"/>
        </w:rPr>
        <w:t>202</w:t>
      </w:r>
      <w:r>
        <w:rPr>
          <w:rFonts w:hint="eastAsia" w:ascii="宋体" w:hAnsi="宋体" w:cs="宋体"/>
          <w:bCs/>
          <w:sz w:val="28"/>
          <w:szCs w:val="28"/>
          <w:highlight w:val="none"/>
          <w:lang w:val="en-US" w:eastAsia="zh-CN"/>
        </w:rPr>
        <w:t>5</w:t>
      </w:r>
      <w:r>
        <w:rPr>
          <w:rFonts w:hint="eastAsia" w:ascii="宋体" w:hAnsi="宋体" w:eastAsia="宋体" w:cs="宋体"/>
          <w:bCs/>
          <w:sz w:val="28"/>
          <w:szCs w:val="28"/>
          <w:highlight w:val="none"/>
        </w:rPr>
        <w:t>年</w:t>
      </w:r>
      <w:r>
        <w:rPr>
          <w:rFonts w:hint="eastAsia" w:ascii="宋体" w:hAnsi="宋体" w:cs="宋体"/>
          <w:bCs/>
          <w:sz w:val="28"/>
          <w:szCs w:val="28"/>
          <w:highlight w:val="none"/>
          <w:lang w:val="en-US" w:eastAsia="zh-CN"/>
        </w:rPr>
        <w:t>2</w:t>
      </w:r>
      <w:r>
        <w:rPr>
          <w:rFonts w:hint="eastAsia" w:ascii="宋体" w:hAnsi="宋体" w:eastAsia="宋体" w:cs="宋体"/>
          <w:bCs/>
          <w:sz w:val="28"/>
          <w:szCs w:val="28"/>
          <w:highlight w:val="none"/>
        </w:rPr>
        <w:t>月</w:t>
      </w:r>
      <w:r>
        <w:rPr>
          <w:rFonts w:hint="eastAsia" w:ascii="宋体" w:hAnsi="宋体" w:cs="宋体"/>
          <w:bCs/>
          <w:sz w:val="28"/>
          <w:szCs w:val="28"/>
          <w:highlight w:val="none"/>
          <w:lang w:val="en-US" w:eastAsia="zh-CN"/>
        </w:rPr>
        <w:t>10</w:t>
      </w:r>
      <w:r>
        <w:rPr>
          <w:rFonts w:hint="eastAsia" w:ascii="宋体" w:hAnsi="宋体" w:eastAsia="宋体" w:cs="宋体"/>
          <w:bCs/>
          <w:sz w:val="28"/>
          <w:szCs w:val="28"/>
          <w:highlight w:val="none"/>
        </w:rPr>
        <w:t>日至</w:t>
      </w:r>
      <w:r>
        <w:rPr>
          <w:rFonts w:hint="eastAsia" w:ascii="宋体" w:hAnsi="宋体" w:cs="宋体"/>
          <w:bCs/>
          <w:sz w:val="28"/>
          <w:szCs w:val="28"/>
          <w:highlight w:val="none"/>
          <w:lang w:val="en-US" w:eastAsia="zh-CN"/>
        </w:rPr>
        <w:t>2</w:t>
      </w:r>
      <w:r>
        <w:rPr>
          <w:rFonts w:hint="eastAsia" w:ascii="宋体" w:hAnsi="宋体" w:eastAsia="宋体" w:cs="宋体"/>
          <w:bCs/>
          <w:sz w:val="28"/>
          <w:szCs w:val="28"/>
          <w:highlight w:val="none"/>
        </w:rPr>
        <w:t>月</w:t>
      </w:r>
      <w:r>
        <w:rPr>
          <w:rFonts w:hint="eastAsia" w:ascii="宋体" w:hAnsi="宋体" w:eastAsia="宋体" w:cs="宋体"/>
          <w:bCs/>
          <w:sz w:val="28"/>
          <w:szCs w:val="28"/>
          <w:highlight w:val="none"/>
          <w:lang w:val="en-US" w:eastAsia="zh-CN"/>
        </w:rPr>
        <w:t>1</w:t>
      </w:r>
      <w:r>
        <w:rPr>
          <w:rFonts w:hint="eastAsia" w:ascii="宋体" w:hAnsi="宋体" w:cs="宋体"/>
          <w:bCs/>
          <w:sz w:val="28"/>
          <w:szCs w:val="28"/>
          <w:highlight w:val="none"/>
          <w:lang w:val="en-US" w:eastAsia="zh-CN"/>
        </w:rPr>
        <w:t>4</w:t>
      </w:r>
      <w:r>
        <w:rPr>
          <w:rFonts w:hint="eastAsia" w:ascii="宋体" w:hAnsi="宋体" w:eastAsia="宋体" w:cs="宋体"/>
          <w:bCs/>
          <w:sz w:val="28"/>
          <w:szCs w:val="28"/>
          <w:highlight w:val="none"/>
        </w:rPr>
        <w:t>日，每日上午</w:t>
      </w:r>
      <w:r>
        <w:rPr>
          <w:rFonts w:hint="eastAsia" w:ascii="宋体" w:hAnsi="宋体" w:eastAsia="宋体" w:cs="宋体"/>
          <w:bCs/>
          <w:sz w:val="28"/>
          <w:szCs w:val="28"/>
          <w:highlight w:val="none"/>
          <w:lang w:val="en-US" w:eastAsia="zh-CN"/>
        </w:rPr>
        <w:t>10</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00</w:t>
      </w:r>
      <w:r>
        <w:rPr>
          <w:rFonts w:hint="eastAsia" w:ascii="宋体" w:hAnsi="宋体" w:eastAsia="宋体" w:cs="宋体"/>
          <w:bCs/>
          <w:sz w:val="28"/>
          <w:szCs w:val="28"/>
          <w:highlight w:val="none"/>
        </w:rPr>
        <w:t>至</w:t>
      </w:r>
      <w:r>
        <w:rPr>
          <w:rFonts w:hint="eastAsia" w:ascii="宋体" w:hAnsi="宋体" w:eastAsia="宋体" w:cs="宋体"/>
          <w:bCs/>
          <w:sz w:val="28"/>
          <w:szCs w:val="28"/>
          <w:highlight w:val="none"/>
          <w:lang w:val="en-US" w:eastAsia="zh-CN"/>
        </w:rPr>
        <w:t>13</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30</w:t>
      </w:r>
      <w:r>
        <w:rPr>
          <w:rFonts w:hint="eastAsia" w:ascii="宋体" w:hAnsi="宋体" w:eastAsia="宋体" w:cs="宋体"/>
          <w:bCs/>
          <w:sz w:val="28"/>
          <w:szCs w:val="28"/>
          <w:highlight w:val="none"/>
        </w:rPr>
        <w:t>，下午</w:t>
      </w:r>
      <w:r>
        <w:rPr>
          <w:rFonts w:hint="eastAsia" w:ascii="宋体" w:hAnsi="宋体" w:eastAsia="宋体" w:cs="宋体"/>
          <w:bCs/>
          <w:sz w:val="28"/>
          <w:szCs w:val="28"/>
          <w:highlight w:val="none"/>
          <w:lang w:val="en-US" w:eastAsia="zh-CN"/>
        </w:rPr>
        <w:t>16</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00</w:t>
      </w:r>
      <w:r>
        <w:rPr>
          <w:rFonts w:hint="eastAsia" w:ascii="宋体" w:hAnsi="宋体" w:eastAsia="宋体" w:cs="宋体"/>
          <w:bCs/>
          <w:sz w:val="28"/>
          <w:szCs w:val="28"/>
          <w:highlight w:val="none"/>
        </w:rPr>
        <w:t>至</w:t>
      </w:r>
      <w:r>
        <w:rPr>
          <w:rFonts w:hint="eastAsia" w:ascii="宋体" w:hAnsi="宋体" w:eastAsia="宋体" w:cs="宋体"/>
          <w:bCs/>
          <w:sz w:val="28"/>
          <w:szCs w:val="28"/>
          <w:highlight w:val="none"/>
          <w:lang w:val="en-US" w:eastAsia="zh-CN"/>
        </w:rPr>
        <w:t>19</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00</w:t>
      </w:r>
      <w:r>
        <w:rPr>
          <w:rFonts w:hint="eastAsia" w:ascii="宋体" w:hAnsi="宋体" w:eastAsia="宋体" w:cs="宋体"/>
          <w:bCs/>
          <w:sz w:val="28"/>
          <w:szCs w:val="28"/>
          <w:highlight w:val="none"/>
        </w:rPr>
        <w:t>。</w:t>
      </w:r>
    </w:p>
    <w:p>
      <w:pPr>
        <w:tabs>
          <w:tab w:val="left" w:pos="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（二）申领地点：</w:t>
      </w:r>
      <w:r>
        <w:rPr>
          <w:rFonts w:hint="eastAsia" w:ascii="宋体" w:hAnsi="宋体" w:eastAsia="宋体" w:cs="宋体"/>
          <w:bCs/>
          <w:sz w:val="28"/>
          <w:szCs w:val="28"/>
          <w:highlight w:val="none"/>
          <w:u w:val="single"/>
        </w:rPr>
        <w:t>随行易交易(新疆)电子招标投标交易平台（http://xj.enjoy5191.com/#/home）</w:t>
      </w:r>
      <w:r>
        <w:rPr>
          <w:rFonts w:ascii="宋体" w:hAnsi="宋体"/>
          <w:sz w:val="28"/>
          <w:szCs w:val="28"/>
          <w:highlight w:val="none"/>
        </w:rPr>
        <w:t>。</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（三）</w:t>
      </w:r>
      <w:bookmarkStart w:id="503" w:name="_Hlk92372678"/>
      <w:r>
        <w:rPr>
          <w:rFonts w:hint="eastAsia" w:ascii="宋体" w:hAnsi="宋体" w:eastAsia="宋体" w:cs="宋体"/>
          <w:bCs/>
          <w:sz w:val="28"/>
          <w:szCs w:val="28"/>
        </w:rPr>
        <w:t>申领</w:t>
      </w:r>
      <w:r>
        <w:rPr>
          <w:rFonts w:hint="eastAsia" w:ascii="宋体" w:hAnsi="宋体" w:eastAsia="宋体" w:cs="宋体"/>
          <w:bCs/>
          <w:sz w:val="28"/>
          <w:szCs w:val="28"/>
          <w:lang w:eastAsia="zh-CN"/>
        </w:rPr>
        <w:t>招标</w:t>
      </w:r>
      <w:r>
        <w:rPr>
          <w:rFonts w:hint="eastAsia" w:ascii="宋体" w:hAnsi="宋体" w:eastAsia="宋体" w:cs="宋体"/>
          <w:bCs/>
          <w:sz w:val="28"/>
          <w:szCs w:val="28"/>
        </w:rPr>
        <w:t>文件时需提供以下资料</w:t>
      </w:r>
      <w:bookmarkEnd w:id="503"/>
      <w:r>
        <w:rPr>
          <w:rFonts w:hint="eastAsia" w:ascii="宋体" w:hAnsi="宋体" w:eastAsia="宋体" w:cs="宋体"/>
          <w:bCs/>
          <w:sz w:val="28"/>
          <w:szCs w:val="28"/>
        </w:rPr>
        <w:t>：</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1.营业执照或事业单位法人证书(军队单位不需要提供)；</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2.法定代表人资格证明书；</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3.法定代表人授权书；</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4.非外资企业或外资控股企业的书面声明（企业提供，事业单位、军队单位不需要提供）；</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5.报价供应商主要股东或出资人信息；</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6.未被列入政府采购失信名单、军队供应商暂停名单，未在军队采购失信名单禁入处罚期内，未被“信用中国”网站列入失信被执行人、重大税收违法案件当事人；报价供应商法定代表人及授权委托人未被中国执行信息公开网（http://zxgk.court.gov.cn/）列入失信被执行人、限制消费人员。【提供《未被列入违法失信名单承诺书》】；</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（四）申领方式： </w:t>
      </w:r>
    </w:p>
    <w:p>
      <w:pPr>
        <w:tabs>
          <w:tab w:val="left" w:pos="0"/>
          <w:tab w:val="left" w:pos="987"/>
          <w:tab w:val="left" w:pos="1122"/>
        </w:tabs>
        <w:spacing w:line="560" w:lineRule="exact"/>
        <w:ind w:firstLine="560" w:firstLineChars="200"/>
        <w:rPr>
          <w:rFonts w:hint="default" w:ascii="宋体" w:hAnsi="宋体" w:eastAsia="宋体" w:cs="宋体"/>
          <w:bCs/>
          <w:sz w:val="28"/>
          <w:szCs w:val="28"/>
          <w:lang w:val="en-US"/>
        </w:rPr>
      </w:pPr>
      <w:r>
        <w:rPr>
          <w:rFonts w:hint="eastAsia" w:ascii="宋体" w:hAnsi="宋体" w:eastAsia="宋体" w:cs="宋体"/>
          <w:bCs/>
          <w:sz w:val="28"/>
          <w:szCs w:val="28"/>
        </w:rPr>
        <w:t>凡有意参加报价者，请于文件发售期间，</w:t>
      </w:r>
      <w:r>
        <w:rPr>
          <w:rFonts w:hint="eastAsia" w:ascii="宋体" w:hAnsi="宋体" w:cs="宋体"/>
          <w:bCs/>
          <w:sz w:val="28"/>
          <w:szCs w:val="28"/>
          <w:lang w:val="en-US" w:eastAsia="zh-CN"/>
        </w:rPr>
        <w:t>在</w:t>
      </w:r>
      <w:r>
        <w:rPr>
          <w:rFonts w:hint="eastAsia" w:ascii="宋体" w:hAnsi="宋体" w:eastAsia="宋体" w:cs="宋体"/>
          <w:bCs/>
          <w:sz w:val="28"/>
          <w:szCs w:val="28"/>
        </w:rPr>
        <w:t>随行易交易(新疆)电子招标投标交易平台（http://xj.enjoy5191.com/#/home）</w:t>
      </w:r>
      <w:r>
        <w:rPr>
          <w:rFonts w:hint="eastAsia" w:ascii="宋体" w:hAnsi="宋体" w:cs="宋体"/>
          <w:bCs/>
          <w:sz w:val="28"/>
          <w:szCs w:val="28"/>
          <w:lang w:val="en-US" w:eastAsia="zh-CN"/>
        </w:rPr>
        <w:t>进行报名</w:t>
      </w:r>
      <w:r>
        <w:rPr>
          <w:rFonts w:hint="eastAsia" w:ascii="宋体" w:hAnsi="宋体" w:eastAsia="宋体" w:cs="宋体"/>
          <w:bCs/>
          <w:sz w:val="28"/>
          <w:szCs w:val="28"/>
        </w:rPr>
        <w:t>。报价供应商提交</w:t>
      </w:r>
      <w:r>
        <w:rPr>
          <w:rFonts w:hint="eastAsia" w:ascii="宋体" w:hAnsi="宋体" w:cs="宋体"/>
          <w:bCs/>
          <w:sz w:val="28"/>
          <w:szCs w:val="28"/>
          <w:lang w:val="en-US" w:eastAsia="zh-CN"/>
        </w:rPr>
        <w:t>报名资料</w:t>
      </w:r>
      <w:r>
        <w:rPr>
          <w:rFonts w:hint="eastAsia" w:ascii="宋体" w:hAnsi="宋体" w:eastAsia="宋体" w:cs="宋体"/>
          <w:bCs/>
          <w:sz w:val="28"/>
          <w:szCs w:val="28"/>
        </w:rPr>
        <w:t>主题：项目名称+项目编号+</w:t>
      </w:r>
      <w:r>
        <w:rPr>
          <w:rFonts w:hint="eastAsia" w:ascii="宋体" w:hAnsi="宋体" w:eastAsia="宋体" w:cs="宋体"/>
          <w:bCs/>
          <w:sz w:val="28"/>
          <w:szCs w:val="28"/>
          <w:lang w:eastAsia="zh-CN"/>
        </w:rPr>
        <w:t>包号</w:t>
      </w:r>
      <w:r>
        <w:rPr>
          <w:rFonts w:hint="eastAsia" w:ascii="宋体" w:hAnsi="宋体" w:eastAsia="宋体" w:cs="宋体"/>
          <w:bCs/>
          <w:sz w:val="28"/>
          <w:szCs w:val="28"/>
          <w:lang w:val="en-US" w:eastAsia="zh-CN"/>
        </w:rPr>
        <w:t>+</w:t>
      </w:r>
      <w:r>
        <w:rPr>
          <w:rFonts w:hint="eastAsia" w:ascii="宋体" w:hAnsi="宋体" w:eastAsia="宋体" w:cs="宋体"/>
          <w:bCs/>
          <w:sz w:val="28"/>
          <w:szCs w:val="28"/>
        </w:rPr>
        <w:t>公司名称；内容：列明公司名称、法定代表人或授权代表人姓名及联系方式；附件：需采用A4纸幅面，将报名材料加盖企业鲜章，按顺序制作成1个PDF格式文件，文件名称与主题一致，复印件扫描无效。报名材料审核通过后，供应商</w:t>
      </w:r>
      <w:r>
        <w:rPr>
          <w:rFonts w:hint="eastAsia" w:ascii="宋体" w:hAnsi="宋体" w:cs="宋体"/>
          <w:bCs/>
          <w:sz w:val="28"/>
          <w:szCs w:val="28"/>
          <w:lang w:val="en-US" w:eastAsia="zh-CN"/>
        </w:rPr>
        <w:t>可在随行易交易(新疆)电子招标投标交易平台http://xj.enjoy5191.com/#/home申领招标文件</w:t>
      </w:r>
      <w:r>
        <w:rPr>
          <w:rFonts w:hint="eastAsia" w:ascii="宋体" w:hAnsi="宋体" w:eastAsia="宋体" w:cs="宋体"/>
          <w:bCs/>
          <w:sz w:val="28"/>
          <w:szCs w:val="28"/>
        </w:rPr>
        <w:t>；审核未通过的，采购机构联系人</w:t>
      </w:r>
      <w:r>
        <w:rPr>
          <w:rFonts w:hint="eastAsia" w:ascii="宋体" w:hAnsi="宋体" w:cs="宋体"/>
          <w:bCs/>
          <w:sz w:val="28"/>
          <w:szCs w:val="28"/>
          <w:lang w:val="en-US" w:eastAsia="zh-CN"/>
        </w:rPr>
        <w:t>将退回其报名资料</w:t>
      </w:r>
      <w:r>
        <w:rPr>
          <w:rFonts w:hint="eastAsia" w:ascii="宋体" w:hAnsi="宋体" w:eastAsia="宋体" w:cs="宋体"/>
          <w:bCs/>
          <w:sz w:val="28"/>
          <w:szCs w:val="28"/>
        </w:rPr>
        <w:t>，供应商可在</w:t>
      </w:r>
      <w:r>
        <w:rPr>
          <w:rFonts w:hint="eastAsia" w:ascii="宋体" w:hAnsi="宋体" w:eastAsia="宋体" w:cs="宋体"/>
          <w:bCs/>
          <w:sz w:val="28"/>
          <w:szCs w:val="28"/>
          <w:lang w:eastAsia="zh-CN"/>
        </w:rPr>
        <w:t>招标</w:t>
      </w:r>
      <w:r>
        <w:rPr>
          <w:rFonts w:hint="eastAsia" w:ascii="宋体" w:hAnsi="宋体" w:eastAsia="宋体" w:cs="宋体"/>
          <w:bCs/>
          <w:sz w:val="28"/>
          <w:szCs w:val="28"/>
        </w:rPr>
        <w:t>文件申领时间内重新提交材料。</w:t>
      </w:r>
      <w:r>
        <w:rPr>
          <w:rFonts w:hint="eastAsia" w:ascii="宋体" w:hAnsi="宋体" w:eastAsia="宋体" w:cs="宋体"/>
          <w:bCs/>
          <w:sz w:val="28"/>
          <w:szCs w:val="28"/>
          <w:lang w:val="en-US" w:eastAsia="zh-CN"/>
        </w:rPr>
        <w:t>申领方式：随行易交易(新疆)电子招标投标交易平台（http://xj.enjoy5191.com/#/home）</w:t>
      </w:r>
      <w:r>
        <w:rPr>
          <w:rFonts w:hint="eastAsia" w:ascii="宋体" w:hAnsi="宋体" w:cs="宋体"/>
          <w:bCs/>
          <w:sz w:val="28"/>
          <w:szCs w:val="28"/>
          <w:lang w:val="en-US" w:eastAsia="zh-CN"/>
        </w:rPr>
        <w:t>线上申领</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六、投标开始和截止时间及地点、方式</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（一）投标开始时间：</w:t>
      </w:r>
      <w:r>
        <w:rPr>
          <w:rFonts w:hint="eastAsia" w:ascii="宋体" w:hAnsi="宋体" w:eastAsia="宋体" w:cs="宋体"/>
          <w:bCs/>
          <w:sz w:val="28"/>
          <w:szCs w:val="28"/>
          <w:lang w:val="en-US" w:eastAsia="zh-CN"/>
        </w:rPr>
        <w:t>2025</w:t>
      </w:r>
      <w:r>
        <w:rPr>
          <w:rFonts w:hint="eastAsia" w:ascii="宋体" w:hAnsi="宋体" w:eastAsia="宋体" w:cs="宋体"/>
          <w:bCs/>
          <w:sz w:val="28"/>
          <w:szCs w:val="28"/>
        </w:rPr>
        <w:t>年</w:t>
      </w:r>
      <w:r>
        <w:rPr>
          <w:rFonts w:hint="eastAsia" w:ascii="宋体" w:hAnsi="宋体" w:cs="宋体"/>
          <w:bCs/>
          <w:sz w:val="28"/>
          <w:szCs w:val="28"/>
          <w:lang w:val="en-US" w:eastAsia="zh-CN"/>
        </w:rPr>
        <w:t>3</w:t>
      </w:r>
      <w:r>
        <w:rPr>
          <w:rFonts w:hint="eastAsia" w:ascii="宋体" w:hAnsi="宋体" w:eastAsia="宋体" w:cs="宋体"/>
          <w:bCs/>
          <w:sz w:val="28"/>
          <w:szCs w:val="28"/>
        </w:rPr>
        <w:t>月</w:t>
      </w:r>
      <w:r>
        <w:rPr>
          <w:rFonts w:hint="eastAsia" w:ascii="宋体" w:hAnsi="宋体" w:cs="宋体"/>
          <w:bCs/>
          <w:sz w:val="28"/>
          <w:szCs w:val="28"/>
          <w:lang w:val="en-US" w:eastAsia="zh-CN"/>
        </w:rPr>
        <w:t>12</w:t>
      </w:r>
      <w:r>
        <w:rPr>
          <w:rFonts w:hint="eastAsia" w:ascii="宋体" w:hAnsi="宋体" w:eastAsia="宋体" w:cs="宋体"/>
          <w:bCs/>
          <w:sz w:val="28"/>
          <w:szCs w:val="28"/>
        </w:rPr>
        <w:t>日</w:t>
      </w:r>
      <w:r>
        <w:rPr>
          <w:rFonts w:hint="eastAsia" w:ascii="宋体" w:hAnsi="宋体" w:eastAsia="宋体" w:cs="宋体"/>
          <w:bCs/>
          <w:sz w:val="28"/>
          <w:szCs w:val="28"/>
          <w:lang w:val="en-US" w:eastAsia="zh-CN"/>
        </w:rPr>
        <w:t>11</w:t>
      </w:r>
      <w:r>
        <w:rPr>
          <w:rFonts w:hint="eastAsia" w:ascii="宋体" w:hAnsi="宋体" w:eastAsia="宋体" w:cs="宋体"/>
          <w:bCs/>
          <w:sz w:val="28"/>
          <w:szCs w:val="28"/>
        </w:rPr>
        <w:t>时</w:t>
      </w:r>
      <w:r>
        <w:rPr>
          <w:rFonts w:hint="eastAsia" w:ascii="宋体" w:hAnsi="宋体" w:eastAsia="宋体" w:cs="宋体"/>
          <w:bCs/>
          <w:sz w:val="28"/>
          <w:szCs w:val="28"/>
          <w:lang w:val="en-US" w:eastAsia="zh-CN"/>
        </w:rPr>
        <w:t>00</w:t>
      </w:r>
      <w:r>
        <w:rPr>
          <w:rFonts w:hint="eastAsia" w:ascii="宋体" w:hAnsi="宋体" w:eastAsia="宋体" w:cs="宋体"/>
          <w:bCs/>
          <w:sz w:val="28"/>
          <w:szCs w:val="28"/>
        </w:rPr>
        <w:t>分。</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二</w:t>
      </w:r>
      <w:r>
        <w:rPr>
          <w:rFonts w:hint="eastAsia" w:ascii="宋体" w:hAnsi="宋体" w:eastAsia="宋体" w:cs="宋体"/>
          <w:bCs/>
          <w:sz w:val="28"/>
          <w:szCs w:val="28"/>
          <w:lang w:eastAsia="zh-CN"/>
        </w:rPr>
        <w:t>）</w:t>
      </w:r>
      <w:r>
        <w:rPr>
          <w:rFonts w:hint="eastAsia" w:ascii="宋体" w:hAnsi="宋体" w:eastAsia="宋体" w:cs="宋体"/>
          <w:bCs/>
          <w:sz w:val="28"/>
          <w:szCs w:val="28"/>
        </w:rPr>
        <w:t>投标截止时间：</w:t>
      </w:r>
      <w:r>
        <w:rPr>
          <w:rFonts w:hint="eastAsia" w:ascii="宋体" w:hAnsi="宋体" w:eastAsia="宋体" w:cs="宋体"/>
          <w:bCs/>
          <w:sz w:val="28"/>
          <w:szCs w:val="28"/>
          <w:lang w:val="en-US" w:eastAsia="zh-CN"/>
        </w:rPr>
        <w:t>2025</w:t>
      </w:r>
      <w:r>
        <w:rPr>
          <w:rFonts w:hint="eastAsia" w:ascii="宋体" w:hAnsi="宋体" w:eastAsia="宋体" w:cs="宋体"/>
          <w:bCs/>
          <w:sz w:val="28"/>
          <w:szCs w:val="28"/>
        </w:rPr>
        <w:t>年</w:t>
      </w:r>
      <w:r>
        <w:rPr>
          <w:rFonts w:hint="eastAsia" w:ascii="宋体" w:hAnsi="宋体" w:cs="宋体"/>
          <w:bCs/>
          <w:sz w:val="28"/>
          <w:szCs w:val="28"/>
          <w:lang w:val="en-US" w:eastAsia="zh-CN"/>
        </w:rPr>
        <w:t>3</w:t>
      </w:r>
      <w:r>
        <w:rPr>
          <w:rFonts w:hint="eastAsia" w:ascii="宋体" w:hAnsi="宋体" w:eastAsia="宋体" w:cs="宋体"/>
          <w:bCs/>
          <w:sz w:val="28"/>
          <w:szCs w:val="28"/>
        </w:rPr>
        <w:t>月</w:t>
      </w:r>
      <w:r>
        <w:rPr>
          <w:rFonts w:hint="eastAsia" w:ascii="宋体" w:hAnsi="宋体" w:cs="宋体"/>
          <w:bCs/>
          <w:sz w:val="28"/>
          <w:szCs w:val="28"/>
          <w:lang w:val="en-US" w:eastAsia="zh-CN"/>
        </w:rPr>
        <w:t>12</w:t>
      </w:r>
      <w:r>
        <w:rPr>
          <w:rFonts w:hint="eastAsia" w:ascii="宋体" w:hAnsi="宋体" w:eastAsia="宋体" w:cs="宋体"/>
          <w:bCs/>
          <w:sz w:val="28"/>
          <w:szCs w:val="28"/>
        </w:rPr>
        <w:t>日</w:t>
      </w:r>
      <w:r>
        <w:rPr>
          <w:rFonts w:hint="eastAsia" w:ascii="宋体" w:hAnsi="宋体" w:eastAsia="宋体" w:cs="宋体"/>
          <w:bCs/>
          <w:sz w:val="28"/>
          <w:szCs w:val="28"/>
          <w:lang w:val="en-US" w:eastAsia="zh-CN"/>
        </w:rPr>
        <w:t>11</w:t>
      </w:r>
      <w:r>
        <w:rPr>
          <w:rFonts w:hint="eastAsia" w:ascii="宋体" w:hAnsi="宋体" w:eastAsia="宋体" w:cs="宋体"/>
          <w:bCs/>
          <w:sz w:val="28"/>
          <w:szCs w:val="28"/>
        </w:rPr>
        <w:t>时</w:t>
      </w:r>
      <w:r>
        <w:rPr>
          <w:rFonts w:hint="eastAsia" w:ascii="宋体" w:hAnsi="宋体" w:eastAsia="宋体" w:cs="宋体"/>
          <w:bCs/>
          <w:sz w:val="28"/>
          <w:szCs w:val="28"/>
          <w:lang w:val="en-US" w:eastAsia="zh-CN"/>
        </w:rPr>
        <w:t>00</w:t>
      </w:r>
      <w:r>
        <w:rPr>
          <w:rFonts w:hint="eastAsia" w:ascii="宋体" w:hAnsi="宋体" w:eastAsia="宋体" w:cs="宋体"/>
          <w:bCs/>
          <w:sz w:val="28"/>
          <w:szCs w:val="28"/>
        </w:rPr>
        <w:t>分。</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（三）投标地点：随行易交易(新疆)电子招标投标交易平台（http://xj.enjoy5191.com/#/home）。</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四）投标方式：本项目投标文件采用线上方式提交，投标人应通过随行易交易（新疆）电子招标投标交易平台（http://xj.enjoy5191.com/#/home）制作并提交电子投标文件。投标文件解密时长：30分钟，请投标人在规定时间完成投标文件解密，最迟于解密开始后30分钟内完成解密，否则视为撤销其投标文件。</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七、开标时间、地点</w:t>
      </w:r>
    </w:p>
    <w:p>
      <w:pPr>
        <w:tabs>
          <w:tab w:val="left" w:pos="888"/>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（一）开标时间：</w:t>
      </w:r>
      <w:r>
        <w:rPr>
          <w:rFonts w:hint="eastAsia" w:ascii="宋体" w:hAnsi="宋体" w:eastAsia="宋体" w:cs="宋体"/>
          <w:bCs/>
          <w:sz w:val="28"/>
          <w:szCs w:val="28"/>
          <w:lang w:val="en-US" w:eastAsia="zh-CN"/>
        </w:rPr>
        <w:t>2025</w:t>
      </w:r>
      <w:r>
        <w:rPr>
          <w:rFonts w:hint="eastAsia" w:ascii="宋体" w:hAnsi="宋体" w:eastAsia="宋体" w:cs="宋体"/>
          <w:bCs/>
          <w:sz w:val="28"/>
          <w:szCs w:val="28"/>
        </w:rPr>
        <w:t>年</w:t>
      </w:r>
      <w:r>
        <w:rPr>
          <w:rFonts w:hint="eastAsia" w:ascii="宋体" w:hAnsi="宋体" w:cs="宋体"/>
          <w:bCs/>
          <w:sz w:val="28"/>
          <w:szCs w:val="28"/>
          <w:lang w:val="en-US" w:eastAsia="zh-CN"/>
        </w:rPr>
        <w:t>3</w:t>
      </w:r>
      <w:r>
        <w:rPr>
          <w:rFonts w:hint="eastAsia" w:ascii="宋体" w:hAnsi="宋体" w:eastAsia="宋体" w:cs="宋体"/>
          <w:bCs/>
          <w:sz w:val="28"/>
          <w:szCs w:val="28"/>
        </w:rPr>
        <w:t>月</w:t>
      </w:r>
      <w:r>
        <w:rPr>
          <w:rFonts w:hint="eastAsia" w:ascii="宋体" w:hAnsi="宋体" w:cs="宋体"/>
          <w:bCs/>
          <w:sz w:val="28"/>
          <w:szCs w:val="28"/>
          <w:lang w:val="en-US" w:eastAsia="zh-CN"/>
        </w:rPr>
        <w:t>12</w:t>
      </w:r>
      <w:r>
        <w:rPr>
          <w:rFonts w:hint="eastAsia" w:ascii="宋体" w:hAnsi="宋体" w:eastAsia="宋体" w:cs="宋体"/>
          <w:bCs/>
          <w:sz w:val="28"/>
          <w:szCs w:val="28"/>
        </w:rPr>
        <w:t>日</w:t>
      </w:r>
      <w:r>
        <w:rPr>
          <w:rFonts w:hint="eastAsia" w:ascii="宋体" w:hAnsi="宋体" w:eastAsia="宋体" w:cs="宋体"/>
          <w:bCs/>
          <w:sz w:val="28"/>
          <w:szCs w:val="28"/>
          <w:lang w:val="en-US" w:eastAsia="zh-CN"/>
        </w:rPr>
        <w:t>11</w:t>
      </w:r>
      <w:r>
        <w:rPr>
          <w:rFonts w:hint="eastAsia" w:ascii="宋体" w:hAnsi="宋体" w:eastAsia="宋体" w:cs="宋体"/>
          <w:bCs/>
          <w:sz w:val="28"/>
          <w:szCs w:val="28"/>
        </w:rPr>
        <w:t>时</w:t>
      </w:r>
      <w:r>
        <w:rPr>
          <w:rFonts w:hint="eastAsia" w:ascii="宋体" w:hAnsi="宋体" w:eastAsia="宋体" w:cs="宋体"/>
          <w:bCs/>
          <w:sz w:val="28"/>
          <w:szCs w:val="28"/>
          <w:lang w:val="en-US" w:eastAsia="zh-CN"/>
        </w:rPr>
        <w:t>00</w:t>
      </w:r>
      <w:r>
        <w:rPr>
          <w:rFonts w:hint="eastAsia" w:ascii="宋体" w:hAnsi="宋体" w:eastAsia="宋体" w:cs="宋体"/>
          <w:bCs/>
          <w:sz w:val="28"/>
          <w:szCs w:val="28"/>
        </w:rPr>
        <w:t>分。</w:t>
      </w:r>
    </w:p>
    <w:p>
      <w:pPr>
        <w:tabs>
          <w:tab w:val="left" w:pos="888"/>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（二）开标地点：</w:t>
      </w:r>
      <w:r>
        <w:rPr>
          <w:rFonts w:hint="eastAsia" w:ascii="宋体" w:hAnsi="宋体" w:cs="宋体"/>
          <w:bCs/>
          <w:sz w:val="28"/>
          <w:szCs w:val="28"/>
          <w:lang w:val="en-US" w:eastAsia="zh-CN"/>
        </w:rPr>
        <w:t>随行易交易(新疆)电子招标投标交易平台（http://xj.enjoy5191.com/#/home）线上开标</w:t>
      </w:r>
      <w:r>
        <w:rPr>
          <w:rFonts w:hint="eastAsia" w:ascii="宋体" w:hAnsi="宋体" w:eastAsia="宋体" w:cs="宋体"/>
          <w:bCs/>
          <w:sz w:val="28"/>
          <w:szCs w:val="28"/>
        </w:rPr>
        <w:t>。</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八、样品（本项目不涉及）</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九、现场踏勘（本项目不涉及）</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十、标前答疑会（本项目不涉及）</w:t>
      </w:r>
    </w:p>
    <w:p>
      <w:pPr>
        <w:tabs>
          <w:tab w:val="left" w:pos="0"/>
          <w:tab w:val="left" w:pos="987"/>
          <w:tab w:val="left" w:pos="1122"/>
        </w:tabs>
        <w:spacing w:line="560" w:lineRule="exact"/>
        <w:ind w:firstLine="560" w:firstLineChars="200"/>
        <w:rPr>
          <w:rFonts w:hint="eastAsia" w:ascii="宋体" w:hAnsi="宋体" w:eastAsia="宋体" w:cs="宋体"/>
          <w:bCs/>
          <w:sz w:val="28"/>
          <w:szCs w:val="28"/>
          <w:lang w:eastAsia="zh-CN"/>
        </w:rPr>
      </w:pPr>
      <w:r>
        <w:rPr>
          <w:rFonts w:hint="eastAsia" w:ascii="宋体" w:hAnsi="宋体" w:eastAsia="宋体" w:cs="宋体"/>
          <w:bCs/>
          <w:sz w:val="28"/>
          <w:szCs w:val="28"/>
        </w:rPr>
        <w:t>十一、本采购项目相关信息在《军队采购网》（</w:t>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"http://www.plap.mil.cn"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www.plap.mil.cn</w:t>
      </w:r>
      <w:r>
        <w:rPr>
          <w:rFonts w:hint="eastAsia" w:ascii="宋体" w:hAnsi="宋体" w:eastAsia="宋体" w:cs="宋体"/>
          <w:bCs/>
          <w:sz w:val="28"/>
          <w:szCs w:val="28"/>
        </w:rPr>
        <w:fldChar w:fldCharType="end"/>
      </w:r>
      <w:r>
        <w:rPr>
          <w:rFonts w:hint="eastAsia" w:ascii="宋体" w:hAnsi="宋体" w:eastAsia="宋体" w:cs="宋体"/>
          <w:bCs/>
          <w:sz w:val="28"/>
          <w:szCs w:val="28"/>
        </w:rPr>
        <w:t>）</w:t>
      </w:r>
      <w:r>
        <w:rPr>
          <w:rFonts w:hint="eastAsia" w:ascii="宋体" w:hAnsi="宋体" w:eastAsia="宋体" w:cs="宋体"/>
          <w:bCs/>
          <w:sz w:val="28"/>
          <w:szCs w:val="28"/>
          <w:lang w:val="en-US" w:eastAsia="zh-CN"/>
        </w:rPr>
        <w:t>和随行易交易(新疆)电子招标投标交易平台http://xj.enjoy5191.com/#/home</w:t>
      </w:r>
      <w:r>
        <w:rPr>
          <w:rFonts w:hint="eastAsia" w:ascii="宋体" w:hAnsi="宋体" w:eastAsia="宋体" w:cs="宋体"/>
          <w:bCs/>
          <w:sz w:val="28"/>
          <w:szCs w:val="28"/>
        </w:rPr>
        <w:t>上发布</w:t>
      </w:r>
      <w:r>
        <w:rPr>
          <w:rFonts w:hint="eastAsia" w:ascii="宋体" w:hAnsi="宋体" w:cs="宋体"/>
          <w:bCs/>
          <w:sz w:val="28"/>
          <w:szCs w:val="28"/>
          <w:lang w:eastAsia="zh-CN"/>
        </w:rPr>
        <w:t>。</w:t>
      </w:r>
    </w:p>
    <w:p>
      <w:pPr>
        <w:tabs>
          <w:tab w:val="left" w:pos="0"/>
          <w:tab w:val="left" w:pos="987"/>
          <w:tab w:val="left" w:pos="1122"/>
        </w:tabs>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十二、采购机构联系方式</w:t>
      </w:r>
    </w:p>
    <w:p>
      <w:pPr>
        <w:spacing w:line="560" w:lineRule="exact"/>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rPr>
        <w:t>联系人：</w:t>
      </w:r>
      <w:r>
        <w:rPr>
          <w:rFonts w:hint="eastAsia" w:ascii="宋体" w:hAnsi="宋体" w:cs="宋体"/>
          <w:bCs/>
          <w:sz w:val="28"/>
          <w:szCs w:val="28"/>
          <w:lang w:val="en-US" w:eastAsia="zh-CN"/>
        </w:rPr>
        <w:t>马嘉唯、邓学文、孙锦凤</w:t>
      </w:r>
    </w:p>
    <w:p>
      <w:pPr>
        <w:spacing w:line="560" w:lineRule="exact"/>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联系方式：</w:t>
      </w:r>
      <w:r>
        <w:rPr>
          <w:rFonts w:hint="eastAsia" w:ascii="宋体" w:hAnsi="宋体" w:cs="宋体"/>
          <w:bCs/>
          <w:sz w:val="28"/>
          <w:szCs w:val="28"/>
          <w:lang w:val="en-US" w:eastAsia="zh-CN"/>
        </w:rPr>
        <w:t>13009658670</w:t>
      </w:r>
    </w:p>
    <w:p>
      <w:pPr>
        <w:tabs>
          <w:tab w:val="left" w:pos="0"/>
          <w:tab w:val="left" w:pos="987"/>
          <w:tab w:val="left" w:pos="1122"/>
        </w:tabs>
        <w:spacing w:line="560" w:lineRule="exact"/>
        <w:ind w:firstLine="560" w:firstLineChars="200"/>
        <w:rPr>
          <w:rFonts w:hint="eastAsia" w:ascii="宋体" w:hAnsi="宋体" w:eastAsia="宋体" w:cs="宋体"/>
          <w:bCs/>
          <w:sz w:val="28"/>
          <w:szCs w:val="28"/>
          <w:lang w:val="en-US" w:eastAsia="zh-CN"/>
        </w:rPr>
      </w:pPr>
      <w:r>
        <w:rPr>
          <w:rFonts w:hint="eastAsia" w:ascii="宋体" w:hAnsi="宋体" w:eastAsia="宋体" w:cs="宋体"/>
          <w:bCs/>
          <w:sz w:val="28"/>
          <w:szCs w:val="28"/>
        </w:rPr>
        <w:t>地    址：新疆乌鲁木齐市水磨沟区龙盛街898号中央公园商住小区S6栋14层</w:t>
      </w:r>
      <w:r>
        <w:rPr>
          <w:rFonts w:hint="eastAsia" w:ascii="宋体" w:hAnsi="宋体" w:eastAsia="宋体" w:cs="宋体"/>
          <w:bCs/>
          <w:sz w:val="28"/>
          <w:szCs w:val="28"/>
          <w:lang w:val="en-US" w:eastAsia="zh-CN"/>
        </w:rPr>
        <w:t>开标厅</w:t>
      </w:r>
    </w:p>
    <w:p>
      <w:pPr>
        <w:tabs>
          <w:tab w:val="left" w:pos="0"/>
          <w:tab w:val="left" w:pos="987"/>
          <w:tab w:val="left" w:pos="1122"/>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十三、监督部门联系方式</w:t>
      </w:r>
    </w:p>
    <w:p>
      <w:pPr>
        <w:spacing w:line="560" w:lineRule="exact"/>
        <w:ind w:firstLine="560" w:firstLineChars="200"/>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rPr>
        <w:t>项目监督人：</w:t>
      </w:r>
      <w:r>
        <w:rPr>
          <w:rFonts w:hint="eastAsia" w:ascii="宋体" w:hAnsi="宋体" w:cs="宋体"/>
          <w:bCs/>
          <w:sz w:val="28"/>
          <w:szCs w:val="28"/>
          <w:highlight w:val="none"/>
          <w:lang w:val="en-US" w:eastAsia="zh-CN"/>
        </w:rPr>
        <w:t>孟干事</w:t>
      </w:r>
      <w:r>
        <w:rPr>
          <w:rFonts w:hint="eastAsia" w:ascii="宋体" w:hAnsi="宋体" w:eastAsia="宋体" w:cs="宋体"/>
          <w:bCs/>
          <w:sz w:val="28"/>
          <w:szCs w:val="28"/>
          <w:highlight w:val="none"/>
          <w:lang w:val="en-US" w:eastAsia="zh-CN"/>
        </w:rPr>
        <w:t xml:space="preserve"> 联系方式：</w:t>
      </w:r>
      <w:r>
        <w:rPr>
          <w:rFonts w:hint="eastAsia" w:ascii="宋体" w:hAnsi="宋体" w:cs="宋体"/>
          <w:bCs/>
          <w:sz w:val="28"/>
          <w:szCs w:val="28"/>
          <w:highlight w:val="none"/>
          <w:lang w:val="en-US" w:eastAsia="zh-CN"/>
        </w:rPr>
        <w:t xml:space="preserve"> 0999-8068038</w:t>
      </w:r>
    </w:p>
    <w:p>
      <w:pPr>
        <w:pStyle w:val="20"/>
        <w:rPr>
          <w:rFonts w:hint="eastAsia" w:ascii="宋体" w:hAnsi="宋体" w:eastAsia="宋体" w:cs="宋体"/>
          <w:sz w:val="28"/>
          <w:szCs w:val="28"/>
        </w:rPr>
      </w:pPr>
    </w:p>
    <w:p>
      <w:pPr>
        <w:spacing w:line="36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rPr>
        <w:t>采购机构：</w:t>
      </w:r>
      <w:r>
        <w:rPr>
          <w:rFonts w:hint="eastAsia" w:ascii="宋体" w:hAnsi="宋体" w:cs="宋体"/>
          <w:sz w:val="28"/>
          <w:szCs w:val="28"/>
          <w:lang w:eastAsia="zh-CN"/>
        </w:rPr>
        <w:t xml:space="preserve"> 新疆新建联项目管理咨询有限公司</w:t>
      </w:r>
    </w:p>
    <w:p>
      <w:pPr>
        <w:spacing w:after="120" w:afterLines="50" w:line="560" w:lineRule="exact"/>
        <w:jc w:val="right"/>
        <w:rPr>
          <w:rFonts w:hint="eastAsia" w:ascii="宋体" w:hAnsi="宋体" w:eastAsia="宋体" w:cs="宋体"/>
          <w:bCs/>
          <w:i/>
          <w:iCs/>
          <w:kern w:val="2"/>
          <w:sz w:val="28"/>
          <w:szCs w:val="28"/>
          <w:highlight w:val="none"/>
        </w:rPr>
      </w:pPr>
      <w:bookmarkStart w:id="677" w:name="_GoBack"/>
      <w:bookmarkEnd w:id="677"/>
      <w:r>
        <w:rPr>
          <w:rFonts w:hint="eastAsia" w:ascii="宋体" w:hAnsi="宋体" w:eastAsia="宋体" w:cs="宋体"/>
          <w:sz w:val="28"/>
          <w:szCs w:val="28"/>
          <w:highlight w:val="none"/>
        </w:rPr>
        <w:t>202</w:t>
      </w:r>
      <w:r>
        <w:rPr>
          <w:rFonts w:hint="eastAsia" w:ascii="宋体" w:hAnsi="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日</w:t>
      </w:r>
    </w:p>
    <w:p>
      <w:pPr>
        <w:widowControl/>
        <w:jc w:val="left"/>
        <w:rPr>
          <w:rFonts w:hint="eastAsia" w:ascii="宋体" w:hAnsi="宋体" w:eastAsia="宋体" w:cs="宋体"/>
          <w:bCs/>
          <w:sz w:val="28"/>
          <w:szCs w:val="28"/>
        </w:rPr>
        <w:sectPr>
          <w:pgSz w:w="11906" w:h="16838"/>
          <w:pgMar w:top="1418" w:right="1134" w:bottom="1418" w:left="1418" w:header="851" w:footer="851" w:gutter="0"/>
          <w:cols w:space="720" w:num="1"/>
        </w:sectPr>
      </w:pPr>
    </w:p>
    <w:p>
      <w:pPr>
        <w:pStyle w:val="6"/>
        <w:keepNext w:val="0"/>
        <w:keepLines w:val="0"/>
        <w:adjustRightInd w:val="0"/>
        <w:snapToGrid w:val="0"/>
        <w:spacing w:after="120" w:afterLines="50" w:line="560" w:lineRule="exact"/>
        <w:jc w:val="center"/>
        <w:rPr>
          <w:rFonts w:hint="eastAsia"/>
          <w:b w:val="0"/>
          <w:bCs/>
          <w:sz w:val="44"/>
          <w:szCs w:val="44"/>
          <w:lang w:val="zh-CN"/>
        </w:rPr>
      </w:pPr>
      <w:bookmarkStart w:id="504" w:name="_Toc130657536"/>
      <w:bookmarkStart w:id="505" w:name="_Toc132190632"/>
      <w:bookmarkStart w:id="506" w:name="_Toc112317781"/>
      <w:bookmarkStart w:id="507" w:name="_Toc130886997"/>
      <w:bookmarkStart w:id="508" w:name="_Toc130887498"/>
      <w:bookmarkStart w:id="509" w:name="_Toc5855"/>
      <w:bookmarkStart w:id="510" w:name="_Toc12397"/>
      <w:bookmarkStart w:id="511" w:name="_Toc130657990"/>
      <w:bookmarkStart w:id="512" w:name="_Toc128150132"/>
      <w:bookmarkStart w:id="513" w:name="_Toc127820562"/>
      <w:bookmarkStart w:id="514" w:name="_Toc128150776"/>
      <w:bookmarkStart w:id="515" w:name="_Toc8647"/>
      <w:bookmarkStart w:id="516" w:name="_Toc29228"/>
      <w:bookmarkStart w:id="517" w:name="_Toc128397968"/>
      <w:bookmarkStart w:id="518" w:name="_Toc128151025"/>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7"/>
        <w:numPr>
          <w:ilvl w:val="2"/>
          <w:numId w:val="0"/>
        </w:numPr>
        <w:tabs>
          <w:tab w:val="clear" w:pos="1820"/>
        </w:tabs>
        <w:spacing w:before="0" w:after="0" w:line="560" w:lineRule="exact"/>
        <w:ind w:leftChars="200"/>
        <w:rPr>
          <w:rFonts w:ascii="黑体" w:hAnsi="黑体" w:cs="黑体"/>
          <w:b w:val="0"/>
          <w:sz w:val="28"/>
          <w:szCs w:val="28"/>
        </w:rPr>
      </w:pPr>
      <w:bookmarkStart w:id="519" w:name="_Toc22387"/>
      <w:bookmarkStart w:id="520" w:name="_Toc130887499"/>
      <w:bookmarkStart w:id="521" w:name="_Toc127820563"/>
      <w:bookmarkStart w:id="522" w:name="_Toc132190633"/>
      <w:bookmarkStart w:id="523" w:name="_Toc128150133"/>
      <w:bookmarkStart w:id="524" w:name="_Toc128150777"/>
      <w:bookmarkStart w:id="525" w:name="_Toc25703"/>
      <w:bookmarkStart w:id="526" w:name="_Toc128151026"/>
      <w:bookmarkStart w:id="527" w:name="_Toc30945"/>
      <w:bookmarkStart w:id="528" w:name="_Toc189"/>
      <w:bookmarkStart w:id="529" w:name="_Toc128397969"/>
      <w:r>
        <w:rPr>
          <w:rFonts w:hint="eastAsia" w:ascii="黑体" w:hAnsi="黑体" w:cs="黑体"/>
          <w:b w:val="0"/>
          <w:sz w:val="28"/>
          <w:szCs w:val="28"/>
        </w:rPr>
        <w:t>一、商务要求</w:t>
      </w:r>
      <w:bookmarkEnd w:id="519"/>
      <w:bookmarkEnd w:id="520"/>
      <w:bookmarkEnd w:id="521"/>
      <w:bookmarkEnd w:id="522"/>
      <w:bookmarkEnd w:id="523"/>
      <w:bookmarkEnd w:id="524"/>
      <w:bookmarkEnd w:id="525"/>
      <w:bookmarkEnd w:id="526"/>
      <w:bookmarkEnd w:id="527"/>
      <w:bookmarkEnd w:id="528"/>
      <w:bookmarkEnd w:id="529"/>
    </w:p>
    <w:p>
      <w:pPr>
        <w:pStyle w:val="87"/>
        <w:spacing w:line="560" w:lineRule="exact"/>
        <w:ind w:left="0" w:leftChars="0" w:firstLine="0" w:firstLineChars="0"/>
        <w:rPr>
          <w:rFonts w:hint="eastAsia" w:ascii="Times New Roman" w:hAnsi="宋体" w:cs="Times New Roman"/>
          <w:bCs/>
          <w:sz w:val="28"/>
          <w:szCs w:val="28"/>
          <w:lang w:eastAsia="zh-CN"/>
        </w:rPr>
      </w:pPr>
      <w:r>
        <w:rPr>
          <w:rFonts w:hint="eastAsia" w:hAnsi="宋体"/>
          <w:bCs/>
          <w:sz w:val="28"/>
          <w:szCs w:val="28"/>
          <w:lang w:val="zh-CN" w:eastAsia="zh-CN"/>
        </w:rPr>
        <w:t>（一）</w:t>
      </w:r>
      <w:r>
        <w:rPr>
          <w:rFonts w:hint="eastAsia" w:hAnsi="宋体"/>
          <w:bCs/>
          <w:sz w:val="28"/>
          <w:szCs w:val="28"/>
          <w:lang w:eastAsia="zh-CN"/>
        </w:rPr>
        <w:t>交货时间、地点和方式</w:t>
      </w:r>
    </w:p>
    <w:p>
      <w:pPr>
        <w:pStyle w:val="87"/>
        <w:spacing w:line="560" w:lineRule="exact"/>
        <w:ind w:left="0" w:leftChars="0" w:firstLine="560" w:firstLineChars="200"/>
        <w:rPr>
          <w:rFonts w:hAnsi="宋体"/>
          <w:bCs/>
          <w:sz w:val="28"/>
          <w:szCs w:val="28"/>
          <w:highlight w:val="none"/>
          <w:lang w:eastAsia="zh-CN"/>
        </w:rPr>
      </w:pPr>
      <w:r>
        <w:rPr>
          <w:rFonts w:hint="eastAsia" w:ascii="宋体" w:hAnsi="宋体" w:cs="宋体"/>
          <w:bCs/>
          <w:sz w:val="28"/>
          <w:szCs w:val="28"/>
          <w:highlight w:val="none"/>
          <w:lang w:eastAsia="zh-CN"/>
        </w:rPr>
        <w:t>1.</w:t>
      </w:r>
      <w:r>
        <w:rPr>
          <w:rFonts w:hint="eastAsia" w:hAnsi="宋体"/>
          <w:bCs/>
          <w:sz w:val="28"/>
          <w:szCs w:val="28"/>
          <w:highlight w:val="none"/>
          <w:lang w:eastAsia="zh-CN"/>
        </w:rPr>
        <w:t>交货时间：</w:t>
      </w:r>
      <w:r>
        <w:rPr>
          <w:rFonts w:hint="eastAsia" w:hAnsi="宋体"/>
          <w:bCs/>
          <w:sz w:val="28"/>
          <w:szCs w:val="28"/>
          <w:highlight w:val="none"/>
          <w:u w:val="single"/>
          <w:lang w:eastAsia="zh-CN"/>
        </w:rPr>
        <w:t>合同签订后，</w:t>
      </w:r>
      <w:r>
        <w:rPr>
          <w:rFonts w:hAnsi="宋体"/>
          <w:bCs/>
          <w:sz w:val="28"/>
          <w:szCs w:val="28"/>
          <w:highlight w:val="none"/>
          <w:u w:val="single"/>
          <w:lang w:eastAsia="zh-CN"/>
        </w:rPr>
        <w:t>30</w:t>
      </w:r>
      <w:r>
        <w:rPr>
          <w:rFonts w:hint="eastAsia" w:hAnsi="宋体"/>
          <w:bCs/>
          <w:sz w:val="28"/>
          <w:szCs w:val="28"/>
          <w:highlight w:val="none"/>
          <w:u w:val="single"/>
          <w:lang w:eastAsia="zh-CN"/>
        </w:rPr>
        <w:t>日历日内完成供货调试并具备验收条件。</w:t>
      </w:r>
    </w:p>
    <w:p>
      <w:pPr>
        <w:pStyle w:val="87"/>
        <w:spacing w:line="560" w:lineRule="exact"/>
        <w:ind w:left="0" w:leftChars="0" w:firstLine="560" w:firstLineChars="200"/>
        <w:rPr>
          <w:rFonts w:hAnsi="宋体"/>
          <w:bCs/>
          <w:sz w:val="28"/>
          <w:szCs w:val="28"/>
          <w:highlight w:val="none"/>
          <w:u w:val="single"/>
          <w:lang w:eastAsia="zh-CN"/>
        </w:rPr>
      </w:pPr>
      <w:r>
        <w:rPr>
          <w:rFonts w:hint="eastAsia" w:ascii="宋体" w:hAnsi="宋体" w:cs="宋体"/>
          <w:bCs/>
          <w:sz w:val="28"/>
          <w:szCs w:val="28"/>
          <w:highlight w:val="none"/>
          <w:lang w:eastAsia="zh-CN"/>
        </w:rPr>
        <w:t>2.</w:t>
      </w:r>
      <w:r>
        <w:rPr>
          <w:rFonts w:hint="eastAsia" w:hAnsi="宋体"/>
          <w:bCs/>
          <w:sz w:val="28"/>
          <w:szCs w:val="28"/>
          <w:highlight w:val="none"/>
          <w:lang w:eastAsia="zh-CN"/>
        </w:rPr>
        <w:t>交货地点：</w:t>
      </w:r>
      <w:r>
        <w:rPr>
          <w:rFonts w:hint="eastAsia" w:hAnsi="宋体"/>
          <w:bCs/>
          <w:sz w:val="28"/>
          <w:szCs w:val="28"/>
          <w:highlight w:val="none"/>
          <w:u w:val="single"/>
          <w:lang w:eastAsia="zh-CN"/>
        </w:rPr>
        <w:t>采购人指定地点。</w:t>
      </w:r>
      <w:r>
        <w:rPr>
          <w:rFonts w:hAnsi="宋体"/>
          <w:bCs/>
          <w:sz w:val="28"/>
          <w:szCs w:val="28"/>
          <w:highlight w:val="none"/>
          <w:u w:val="single"/>
          <w:lang w:eastAsia="zh-CN"/>
        </w:rPr>
        <w:t xml:space="preserve"> </w:t>
      </w:r>
    </w:p>
    <w:p>
      <w:pPr>
        <w:pStyle w:val="87"/>
        <w:spacing w:line="560" w:lineRule="exact"/>
        <w:ind w:left="11" w:firstLine="560"/>
        <w:rPr>
          <w:rFonts w:hAnsi="宋体"/>
          <w:bCs/>
          <w:sz w:val="28"/>
          <w:szCs w:val="28"/>
          <w:highlight w:val="none"/>
          <w:lang w:eastAsia="zh-CN"/>
        </w:rPr>
      </w:pPr>
      <w:r>
        <w:rPr>
          <w:rFonts w:hint="eastAsia" w:ascii="宋体" w:hAnsi="宋体" w:cs="宋体"/>
          <w:bCs/>
          <w:sz w:val="28"/>
          <w:szCs w:val="28"/>
          <w:highlight w:val="none"/>
          <w:lang w:eastAsia="zh-CN"/>
        </w:rPr>
        <w:t>3.</w:t>
      </w:r>
      <w:r>
        <w:rPr>
          <w:rFonts w:hint="eastAsia" w:hAnsi="宋体"/>
          <w:bCs/>
          <w:sz w:val="28"/>
          <w:szCs w:val="28"/>
          <w:highlight w:val="none"/>
          <w:lang w:eastAsia="zh-CN"/>
        </w:rPr>
        <w:t>交货方式：</w:t>
      </w:r>
      <w:r>
        <w:rPr>
          <w:rFonts w:hAnsi="宋体"/>
          <w:bCs/>
          <w:sz w:val="28"/>
          <w:szCs w:val="28"/>
          <w:highlight w:val="none"/>
          <w:u w:val="single"/>
          <w:lang w:eastAsia="zh-CN"/>
        </w:rPr>
        <w:t xml:space="preserve"> </w:t>
      </w:r>
      <w:r>
        <w:rPr>
          <w:rFonts w:hint="eastAsia" w:hAnsi="宋体"/>
          <w:bCs/>
          <w:sz w:val="28"/>
          <w:szCs w:val="28"/>
          <w:highlight w:val="none"/>
          <w:u w:val="single"/>
          <w:lang w:eastAsia="zh-CN"/>
        </w:rPr>
        <w:t>合同签订生效后</w:t>
      </w:r>
      <w:r>
        <w:rPr>
          <w:rFonts w:hAnsi="宋体"/>
          <w:bCs/>
          <w:sz w:val="28"/>
          <w:szCs w:val="28"/>
          <w:highlight w:val="none"/>
          <w:u w:val="single"/>
          <w:lang w:eastAsia="zh-CN"/>
        </w:rPr>
        <w:t>30</w:t>
      </w:r>
      <w:r>
        <w:rPr>
          <w:rFonts w:hint="eastAsia" w:hAnsi="宋体"/>
          <w:bCs/>
          <w:sz w:val="28"/>
          <w:szCs w:val="28"/>
          <w:highlight w:val="none"/>
          <w:u w:val="single"/>
          <w:lang w:eastAsia="zh-CN"/>
        </w:rPr>
        <w:t>日内将全部货物免费运送至采购人指定地点，并完成安装调试、验收合格后交付。</w:t>
      </w:r>
    </w:p>
    <w:p>
      <w:pPr>
        <w:pStyle w:val="87"/>
        <w:spacing w:line="560" w:lineRule="exact"/>
        <w:ind w:left="0" w:leftChars="0" w:firstLine="0" w:firstLineChars="0"/>
        <w:rPr>
          <w:rFonts w:hAnsi="宋体"/>
          <w:bCs/>
          <w:sz w:val="28"/>
          <w:szCs w:val="28"/>
          <w:highlight w:val="none"/>
          <w:lang w:eastAsia="zh-CN"/>
        </w:rPr>
      </w:pPr>
      <w:r>
        <w:rPr>
          <w:rFonts w:hint="eastAsia" w:hAnsi="宋体"/>
          <w:bCs/>
          <w:sz w:val="28"/>
          <w:szCs w:val="28"/>
          <w:highlight w:val="none"/>
          <w:lang w:val="zh-CN" w:eastAsia="zh-CN"/>
        </w:rPr>
        <w:t>（二）</w:t>
      </w:r>
      <w:r>
        <w:rPr>
          <w:rFonts w:hint="eastAsia" w:hAnsi="宋体"/>
          <w:bCs/>
          <w:sz w:val="28"/>
          <w:szCs w:val="28"/>
          <w:highlight w:val="none"/>
          <w:lang w:eastAsia="zh-CN"/>
        </w:rPr>
        <w:t>产品包装和运输要求</w:t>
      </w:r>
      <w:r>
        <w:rPr>
          <w:rFonts w:hAnsi="宋体"/>
          <w:bCs/>
          <w:sz w:val="28"/>
          <w:szCs w:val="28"/>
          <w:highlight w:val="none"/>
          <w:u w:val="single"/>
          <w:lang w:eastAsia="zh-CN"/>
        </w:rPr>
        <w:t xml:space="preserve"> </w:t>
      </w:r>
      <w:r>
        <w:rPr>
          <w:rFonts w:hint="eastAsia" w:hAnsi="宋体"/>
          <w:bCs/>
          <w:sz w:val="28"/>
          <w:szCs w:val="28"/>
          <w:highlight w:val="none"/>
          <w:u w:val="single"/>
          <w:lang w:eastAsia="zh-CN"/>
        </w:rPr>
        <w:t>满足采购人要求</w:t>
      </w:r>
      <w:r>
        <w:rPr>
          <w:rFonts w:hAnsi="宋体"/>
          <w:bCs/>
          <w:sz w:val="28"/>
          <w:szCs w:val="28"/>
          <w:highlight w:val="none"/>
          <w:u w:val="single"/>
          <w:lang w:eastAsia="zh-CN"/>
        </w:rPr>
        <w:t xml:space="preserve"> </w:t>
      </w:r>
      <w:r>
        <w:rPr>
          <w:rFonts w:hint="eastAsia" w:hAnsi="宋体"/>
          <w:bCs/>
          <w:sz w:val="28"/>
          <w:szCs w:val="28"/>
          <w:highlight w:val="none"/>
          <w:lang w:eastAsia="zh-CN"/>
        </w:rPr>
        <w:t>。</w:t>
      </w:r>
    </w:p>
    <w:p>
      <w:pPr>
        <w:pStyle w:val="87"/>
        <w:spacing w:line="560" w:lineRule="exact"/>
        <w:ind w:left="0" w:leftChars="0" w:firstLine="0" w:firstLineChars="0"/>
        <w:rPr>
          <w:rFonts w:hAnsi="宋体"/>
          <w:bCs/>
          <w:sz w:val="28"/>
          <w:szCs w:val="28"/>
          <w:highlight w:val="none"/>
          <w:lang w:eastAsia="zh-CN"/>
        </w:rPr>
      </w:pPr>
      <w:r>
        <w:rPr>
          <w:rFonts w:hint="eastAsia" w:hAnsi="宋体"/>
          <w:bCs/>
          <w:sz w:val="28"/>
          <w:szCs w:val="28"/>
          <w:highlight w:val="none"/>
          <w:lang w:eastAsia="zh-CN"/>
        </w:rPr>
        <w:t>（三）售后服务</w:t>
      </w:r>
    </w:p>
    <w:p>
      <w:pPr>
        <w:pStyle w:val="87"/>
        <w:spacing w:line="560" w:lineRule="exact"/>
        <w:ind w:left="0" w:leftChars="0" w:firstLine="560" w:firstLineChars="200"/>
        <w:rPr>
          <w:rFonts w:hint="eastAsia" w:ascii="宋体" w:hAnsi="宋体"/>
          <w:bCs/>
          <w:sz w:val="28"/>
          <w:szCs w:val="28"/>
          <w:lang w:val="en-US" w:eastAsia="zh-CN"/>
        </w:rPr>
      </w:pPr>
      <w:r>
        <w:rPr>
          <w:rFonts w:hint="eastAsia" w:ascii="宋体" w:hAnsi="宋体"/>
          <w:bCs/>
          <w:sz w:val="28"/>
          <w:szCs w:val="28"/>
          <w:lang w:val="en-US" w:eastAsia="zh-CN"/>
        </w:rPr>
        <w:t>根据招标人需求提供售后服务</w:t>
      </w:r>
    </w:p>
    <w:p>
      <w:pPr>
        <w:pStyle w:val="87"/>
        <w:spacing w:line="560" w:lineRule="exact"/>
        <w:ind w:left="0" w:leftChars="0" w:firstLine="0" w:firstLineChars="0"/>
        <w:rPr>
          <w:rFonts w:hint="eastAsia" w:ascii="Times New Roman" w:hAnsi="Times New Roman"/>
          <w:bCs/>
          <w:sz w:val="28"/>
          <w:szCs w:val="28"/>
          <w:lang w:eastAsia="zh-CN"/>
        </w:rPr>
      </w:pPr>
      <w:r>
        <w:rPr>
          <w:rFonts w:hint="eastAsia" w:ascii="宋体" w:hAnsi="宋体"/>
          <w:bCs/>
          <w:sz w:val="28"/>
          <w:szCs w:val="28"/>
          <w:lang w:val="zh-CN" w:eastAsia="zh-CN"/>
        </w:rPr>
        <w:t>★</w:t>
      </w:r>
      <w:r>
        <w:rPr>
          <w:rFonts w:hint="eastAsia" w:hAnsi="宋体"/>
          <w:bCs/>
          <w:sz w:val="28"/>
          <w:szCs w:val="28"/>
          <w:lang w:val="zh-CN" w:eastAsia="zh-CN"/>
        </w:rPr>
        <w:t>（</w:t>
      </w:r>
      <w:r>
        <w:rPr>
          <w:rFonts w:hint="eastAsia" w:hAnsi="宋体"/>
          <w:bCs/>
          <w:sz w:val="28"/>
          <w:szCs w:val="28"/>
          <w:lang w:eastAsia="zh-CN"/>
        </w:rPr>
        <w:t>四</w:t>
      </w:r>
      <w:r>
        <w:rPr>
          <w:rFonts w:hint="eastAsia" w:hAnsi="宋体"/>
          <w:bCs/>
          <w:sz w:val="28"/>
          <w:szCs w:val="28"/>
          <w:lang w:val="zh-CN" w:eastAsia="zh-CN"/>
        </w:rPr>
        <w:t>）</w:t>
      </w:r>
      <w:r>
        <w:rPr>
          <w:rFonts w:hint="eastAsia" w:hAnsi="宋体"/>
          <w:bCs/>
          <w:sz w:val="28"/>
          <w:szCs w:val="28"/>
          <w:lang w:eastAsia="zh-CN"/>
        </w:rPr>
        <w:t>知识产权和保密要求</w:t>
      </w:r>
    </w:p>
    <w:p>
      <w:pPr>
        <w:tabs>
          <w:tab w:val="left" w:pos="0"/>
        </w:tabs>
        <w:autoSpaceDE w:val="0"/>
        <w:autoSpaceDN w:val="0"/>
        <w:adjustRightInd w:val="0"/>
        <w:spacing w:line="560" w:lineRule="exact"/>
        <w:ind w:firstLine="560" w:firstLineChars="200"/>
        <w:rPr>
          <w:rFonts w:hint="eastAsia" w:ascii="宋体" w:hAnsi="宋体" w:cs="Times New Roman"/>
          <w:bCs/>
          <w:sz w:val="28"/>
          <w:szCs w:val="28"/>
          <w:lang w:val="zh-CN" w:eastAsia="zh-CN"/>
        </w:rPr>
      </w:pPr>
      <w:r>
        <w:rPr>
          <w:rFonts w:hint="eastAsia" w:ascii="宋体" w:hAnsi="宋体" w:cs="Times New Roman"/>
          <w:bCs/>
          <w:sz w:val="28"/>
          <w:szCs w:val="28"/>
          <w:lang w:val="zh-CN" w:eastAsia="zh-CN"/>
        </w:rPr>
        <w:t>投标供应商应当保证采购单位在使用该物资或其任何一部分时，不受第三方侵权指控。同时，投标供应商不得向第三方泄露采购机构提供的技术文件等</w:t>
      </w:r>
      <w:r>
        <w:rPr>
          <w:rFonts w:hint="eastAsia" w:ascii="宋体" w:hAnsi="宋体" w:cs="Times New Roman"/>
          <w:bCs/>
          <w:sz w:val="28"/>
          <w:szCs w:val="28"/>
          <w:lang w:eastAsia="zh-CN"/>
        </w:rPr>
        <w:t>材料</w:t>
      </w:r>
      <w:r>
        <w:rPr>
          <w:rFonts w:hint="eastAsia" w:ascii="宋体" w:hAnsi="宋体" w:cs="Times New Roman"/>
          <w:bCs/>
          <w:sz w:val="28"/>
          <w:szCs w:val="28"/>
          <w:lang w:val="zh-CN" w:eastAsia="zh-CN"/>
        </w:rPr>
        <w:t>。</w:t>
      </w:r>
    </w:p>
    <w:p>
      <w:pPr>
        <w:tabs>
          <w:tab w:val="left" w:pos="0"/>
        </w:tabs>
        <w:autoSpaceDE w:val="0"/>
        <w:autoSpaceDN w:val="0"/>
        <w:adjustRightInd w:val="0"/>
        <w:spacing w:line="560" w:lineRule="exact"/>
        <w:ind w:firstLine="560" w:firstLineChars="200"/>
        <w:rPr>
          <w:rFonts w:hint="eastAsia" w:ascii="宋体" w:hAnsi="宋体" w:cs="Times New Roman"/>
          <w:bCs/>
          <w:sz w:val="28"/>
          <w:szCs w:val="28"/>
          <w:lang w:val="zh-CN" w:eastAsia="zh-CN"/>
        </w:rPr>
      </w:pPr>
      <w:r>
        <w:rPr>
          <w:rFonts w:hint="eastAsia" w:ascii="宋体" w:hAnsi="宋体" w:cs="Times New Roman"/>
          <w:bCs/>
          <w:sz w:val="28"/>
          <w:szCs w:val="28"/>
          <w:lang w:val="zh-CN" w:eastAsia="zh-CN"/>
        </w:rPr>
        <w:t>基于项目合同履行形成的知识产权和其他权益，其权属归采购单位所有，法律另有规定的除外。</w:t>
      </w:r>
    </w:p>
    <w:p>
      <w:pPr>
        <w:pStyle w:val="87"/>
        <w:spacing w:line="560" w:lineRule="exact"/>
        <w:ind w:left="0" w:leftChars="0" w:firstLine="0" w:firstLineChars="0"/>
        <w:rPr>
          <w:rFonts w:ascii="宋体" w:hAnsi="宋体"/>
          <w:bCs/>
          <w:sz w:val="28"/>
          <w:szCs w:val="28"/>
          <w:lang w:val="zh-CN" w:eastAsia="zh-CN"/>
        </w:rPr>
      </w:pPr>
      <w:r>
        <w:rPr>
          <w:rFonts w:hint="eastAsia" w:ascii="宋体" w:hAnsi="宋体"/>
          <w:bCs/>
          <w:sz w:val="28"/>
          <w:szCs w:val="28"/>
          <w:lang w:val="zh-CN" w:eastAsia="zh-CN"/>
        </w:rPr>
        <w:t>★（五）物资编目编码、打码贴签要求</w:t>
      </w:r>
    </w:p>
    <w:p>
      <w:pPr>
        <w:tabs>
          <w:tab w:val="left" w:pos="0"/>
        </w:tabs>
        <w:autoSpaceDE w:val="0"/>
        <w:autoSpaceDN w:val="0"/>
        <w:adjustRightInd w:val="0"/>
        <w:spacing w:line="560" w:lineRule="exact"/>
        <w:ind w:firstLine="560" w:firstLineChars="200"/>
        <w:rPr>
          <w:rFonts w:hint="eastAsia" w:ascii="宋体" w:hAnsi="宋体" w:cs="Times New Roman"/>
          <w:bCs/>
          <w:sz w:val="28"/>
          <w:szCs w:val="28"/>
          <w:lang w:val="zh-CN" w:eastAsia="zh-CN"/>
        </w:rPr>
      </w:pPr>
      <w:r>
        <w:rPr>
          <w:rFonts w:hint="eastAsia" w:ascii="宋体" w:hAnsi="宋体" w:cs="Times New Roman"/>
          <w:bCs/>
          <w:sz w:val="28"/>
          <w:szCs w:val="28"/>
          <w:lang w:val="zh-CN" w:eastAsia="zh-CN"/>
        </w:rPr>
        <w:t>本项目对物资的编目编码、打码贴签要求，投标供应商应当予以明确响应，相关费用包含在报价中。</w:t>
      </w:r>
    </w:p>
    <w:p>
      <w:pPr>
        <w:snapToGrid w:val="0"/>
        <w:spacing w:line="560" w:lineRule="exact"/>
        <w:rPr>
          <w:rFonts w:hint="eastAsia" w:ascii="宋体" w:hAnsi="宋体"/>
          <w:bCs/>
          <w:sz w:val="28"/>
          <w:szCs w:val="28"/>
          <w:highlight w:val="none"/>
          <w:lang w:val="zh-CN" w:eastAsia="zh-CN"/>
        </w:rPr>
      </w:pPr>
      <w:r>
        <w:rPr>
          <w:rFonts w:hint="eastAsia" w:ascii="宋体" w:hAnsi="宋体"/>
          <w:bCs/>
          <w:sz w:val="28"/>
          <w:szCs w:val="28"/>
          <w:highlight w:val="none"/>
          <w:lang w:val="zh-CN" w:eastAsia="zh-CN"/>
        </w:rPr>
        <w:t>★（六）付款及结算方式</w:t>
      </w:r>
    </w:p>
    <w:p>
      <w:pPr>
        <w:snapToGrid w:val="0"/>
        <w:spacing w:line="560" w:lineRule="exact"/>
        <w:ind w:firstLine="560" w:firstLineChars="200"/>
        <w:rPr>
          <w:rFonts w:hint="default" w:ascii="宋体" w:hAnsi="宋体"/>
          <w:bCs/>
          <w:sz w:val="28"/>
          <w:szCs w:val="28"/>
          <w:highlight w:val="none"/>
          <w:lang w:val="en-US" w:eastAsia="zh-CN"/>
        </w:rPr>
      </w:pPr>
      <w:r>
        <w:rPr>
          <w:rFonts w:hint="eastAsia" w:ascii="宋体" w:hAnsi="宋体"/>
          <w:bCs/>
          <w:sz w:val="28"/>
          <w:szCs w:val="28"/>
          <w:highlight w:val="none"/>
          <w:lang w:val="en-US" w:eastAsia="zh-CN"/>
        </w:rPr>
        <w:t>其他方式：/</w:t>
      </w:r>
    </w:p>
    <w:p>
      <w:pPr>
        <w:snapToGrid w:val="0"/>
        <w:spacing w:line="560" w:lineRule="exact"/>
        <w:rPr>
          <w:rFonts w:hint="eastAsia" w:ascii="宋体" w:hAnsi="宋体"/>
          <w:bCs/>
          <w:sz w:val="28"/>
          <w:szCs w:val="28"/>
          <w:lang w:val="zh-CN" w:eastAsia="zh-CN"/>
        </w:rPr>
      </w:pPr>
      <w:r>
        <w:rPr>
          <w:rFonts w:hint="eastAsia" w:ascii="宋体" w:hAnsi="宋体"/>
          <w:bCs/>
          <w:sz w:val="28"/>
          <w:szCs w:val="28"/>
          <w:lang w:val="zh-CN" w:eastAsia="zh-CN"/>
        </w:rPr>
        <w:t>★（七）履约保证金和质量保证金</w:t>
      </w:r>
    </w:p>
    <w:p>
      <w:pPr>
        <w:snapToGrid w:val="0"/>
        <w:spacing w:line="560" w:lineRule="exact"/>
        <w:ind w:firstLine="560" w:firstLineChars="200"/>
        <w:rPr>
          <w:rFonts w:hint="eastAsia" w:ascii="宋体" w:hAnsi="宋体"/>
          <w:bCs/>
          <w:sz w:val="28"/>
          <w:szCs w:val="28"/>
          <w:lang w:val="zh-CN" w:eastAsia="zh-CN"/>
        </w:rPr>
      </w:pPr>
      <w:r>
        <w:rPr>
          <w:rFonts w:hint="eastAsia" w:ascii="宋体" w:hAnsi="宋体"/>
          <w:bCs/>
          <w:sz w:val="28"/>
          <w:szCs w:val="28"/>
          <w:lang w:val="zh-CN" w:eastAsia="zh-CN"/>
        </w:rPr>
        <w:t>1.履约保证金：中标供应商签订采购合同前，应按</w:t>
      </w:r>
      <w:r>
        <w:rPr>
          <w:rFonts w:hint="eastAsia" w:ascii="宋体" w:hAnsi="宋体"/>
          <w:bCs/>
          <w:sz w:val="28"/>
          <w:szCs w:val="28"/>
          <w:lang w:val="en-US" w:eastAsia="zh-CN"/>
        </w:rPr>
        <w:t>中标</w:t>
      </w:r>
      <w:r>
        <w:rPr>
          <w:rFonts w:hint="eastAsia" w:ascii="宋体" w:hAnsi="宋体"/>
          <w:bCs/>
          <w:sz w:val="28"/>
          <w:szCs w:val="28"/>
          <w:highlight w:val="none"/>
          <w:lang w:val="zh-CN" w:eastAsia="zh-CN"/>
        </w:rPr>
        <w:t>金额的5%向采购单位提</w:t>
      </w:r>
      <w:r>
        <w:rPr>
          <w:rFonts w:hint="eastAsia" w:ascii="宋体" w:hAnsi="宋体"/>
          <w:bCs/>
          <w:sz w:val="28"/>
          <w:szCs w:val="28"/>
          <w:lang w:val="zh-CN" w:eastAsia="zh-CN"/>
        </w:rPr>
        <w:t>交履约保证金（按四舍五入取整至拾位，采购单位账户信息定标后告知），履约保证金到账后签订合同。合同履行物资验收合格后，甲方可以在合同最终支付结算时，一并办理履约保证金返还。乙方若未按时交付产品，或交付产品性能未能达到指定要求时，甲方有权解除合同，没收合同履约保证金。</w:t>
      </w:r>
    </w:p>
    <w:p>
      <w:pPr>
        <w:snapToGrid w:val="0"/>
        <w:spacing w:line="560" w:lineRule="exact"/>
        <w:ind w:firstLine="560" w:firstLineChars="200"/>
        <w:rPr>
          <w:rFonts w:hint="eastAsia" w:ascii="宋体" w:hAnsi="宋体"/>
          <w:bCs/>
          <w:sz w:val="28"/>
          <w:szCs w:val="28"/>
          <w:highlight w:val="none"/>
          <w:lang w:val="zh-CN" w:eastAsia="zh-CN"/>
        </w:rPr>
      </w:pPr>
      <w:r>
        <w:rPr>
          <w:rFonts w:hint="eastAsia" w:ascii="宋体" w:hAnsi="宋体"/>
          <w:bCs/>
          <w:sz w:val="28"/>
          <w:szCs w:val="28"/>
          <w:highlight w:val="none"/>
          <w:lang w:val="zh-CN" w:eastAsia="zh-CN"/>
        </w:rPr>
        <w:t>2.质量保证金：合同金额的</w:t>
      </w:r>
      <w:r>
        <w:rPr>
          <w:rFonts w:hint="eastAsia" w:ascii="宋体" w:hAnsi="宋体"/>
          <w:bCs/>
          <w:sz w:val="28"/>
          <w:szCs w:val="28"/>
          <w:highlight w:val="none"/>
          <w:lang w:val="en-US" w:eastAsia="zh-CN"/>
        </w:rPr>
        <w:t>5</w:t>
      </w:r>
      <w:r>
        <w:rPr>
          <w:rFonts w:hint="eastAsia" w:ascii="宋体" w:hAnsi="宋体"/>
          <w:bCs/>
          <w:sz w:val="28"/>
          <w:szCs w:val="28"/>
          <w:highlight w:val="none"/>
          <w:lang w:val="zh-CN" w:eastAsia="zh-CN"/>
        </w:rPr>
        <w:t>%为作质量保证金，质量保证金一般在质保期满且无质量问题时全额无息退还。在免费质保期内，货物因乙方责任产生质量问题未予以补救，或者予以补救后仍然造成损失的，甲方有权直接从质量保证金扣除相应损失，</w:t>
      </w:r>
      <w:r>
        <w:rPr>
          <w:rFonts w:hint="eastAsia" w:ascii="宋体" w:hAnsi="宋体"/>
          <w:bCs/>
          <w:sz w:val="28"/>
          <w:szCs w:val="28"/>
          <w:highlight w:val="none"/>
          <w:lang w:val="en-US" w:eastAsia="zh-CN"/>
        </w:rPr>
        <w:t>质保期2年</w:t>
      </w:r>
      <w:r>
        <w:rPr>
          <w:rFonts w:hint="eastAsia" w:ascii="宋体" w:hAnsi="宋体"/>
          <w:bCs/>
          <w:sz w:val="28"/>
          <w:szCs w:val="28"/>
          <w:highlight w:val="none"/>
          <w:lang w:val="zh-CN" w:eastAsia="zh-CN"/>
        </w:rPr>
        <w:t>。</w:t>
      </w:r>
    </w:p>
    <w:p>
      <w:pPr>
        <w:snapToGrid w:val="0"/>
        <w:spacing w:line="560" w:lineRule="exact"/>
        <w:rPr>
          <w:rFonts w:hint="eastAsia" w:ascii="宋体" w:hAnsi="宋体"/>
          <w:bCs/>
          <w:snapToGrid w:val="0"/>
          <w:sz w:val="28"/>
          <w:szCs w:val="28"/>
          <w:highlight w:val="none"/>
        </w:rPr>
      </w:pPr>
      <w:r>
        <w:rPr>
          <w:rFonts w:hint="eastAsia" w:ascii="宋体" w:hAnsi="宋体"/>
          <w:bCs/>
          <w:sz w:val="28"/>
          <w:szCs w:val="28"/>
          <w:highlight w:val="none"/>
          <w:lang w:val="zh-CN"/>
        </w:rPr>
        <w:t>（八）</w:t>
      </w:r>
      <w:r>
        <w:rPr>
          <w:rFonts w:hint="eastAsia" w:ascii="宋体" w:hAnsi="宋体"/>
          <w:bCs/>
          <w:snapToGrid w:val="0"/>
          <w:sz w:val="28"/>
          <w:szCs w:val="28"/>
          <w:highlight w:val="none"/>
        </w:rPr>
        <w:t>备品备件要求</w:t>
      </w:r>
    </w:p>
    <w:p>
      <w:pPr>
        <w:snapToGrid w:val="0"/>
        <w:spacing w:line="560" w:lineRule="exact"/>
        <w:ind w:firstLine="560" w:firstLineChars="200"/>
        <w:rPr>
          <w:rFonts w:hint="eastAsia" w:ascii="宋体" w:hAnsi="宋体"/>
          <w:bCs/>
          <w:sz w:val="28"/>
          <w:szCs w:val="28"/>
          <w:highlight w:val="none"/>
          <w:lang w:val="zh-CN"/>
        </w:rPr>
      </w:pPr>
      <w:r>
        <w:rPr>
          <w:rFonts w:hint="eastAsia" w:ascii="宋体" w:hAnsi="宋体"/>
          <w:bCs/>
          <w:sz w:val="28"/>
          <w:szCs w:val="28"/>
          <w:highlight w:val="none"/>
        </w:rPr>
        <w:t>1</w:t>
      </w:r>
      <w:r>
        <w:rPr>
          <w:rFonts w:hint="eastAsia" w:ascii="宋体" w:hAnsi="宋体"/>
          <w:bCs/>
          <w:sz w:val="28"/>
          <w:szCs w:val="28"/>
          <w:highlight w:val="none"/>
          <w:lang w:val="zh-CN"/>
        </w:rPr>
        <w:t>.投标供应商应当提供物资生命周期内所需零备件和消耗品清单，并明确供应周期和价格等优惠条件。</w:t>
      </w:r>
    </w:p>
    <w:p>
      <w:pPr>
        <w:snapToGrid w:val="0"/>
        <w:spacing w:line="560" w:lineRule="exact"/>
        <w:ind w:firstLine="560" w:firstLineChars="200"/>
        <w:rPr>
          <w:rFonts w:hint="eastAsia" w:ascii="宋体" w:hAnsi="宋体"/>
          <w:bCs/>
          <w:sz w:val="28"/>
          <w:szCs w:val="28"/>
          <w:highlight w:val="none"/>
          <w:lang w:val="zh-CN"/>
        </w:rPr>
      </w:pPr>
      <w:r>
        <w:rPr>
          <w:rFonts w:hint="eastAsia" w:ascii="宋体" w:hAnsi="宋体"/>
          <w:bCs/>
          <w:sz w:val="28"/>
          <w:szCs w:val="28"/>
          <w:highlight w:val="none"/>
        </w:rPr>
        <w:t>2</w:t>
      </w:r>
      <w:r>
        <w:rPr>
          <w:rFonts w:hint="eastAsia" w:ascii="宋体" w:hAnsi="宋体"/>
          <w:bCs/>
          <w:sz w:val="28"/>
          <w:szCs w:val="28"/>
          <w:highlight w:val="none"/>
          <w:lang w:val="zh-CN"/>
        </w:rPr>
        <w:t>.投标供应商应当承诺，对售后服务需求提供7×24响应，</w:t>
      </w:r>
      <w:r>
        <w:rPr>
          <w:rFonts w:hint="eastAsia" w:ascii="宋体" w:hAnsi="宋体"/>
          <w:bCs/>
          <w:sz w:val="28"/>
          <w:szCs w:val="28"/>
          <w:highlight w:val="none"/>
          <w:u w:val="single"/>
          <w:lang w:val="zh-CN"/>
        </w:rPr>
        <w:t xml:space="preserve"> 2</w:t>
      </w:r>
      <w:r>
        <w:rPr>
          <w:rFonts w:hint="eastAsia" w:ascii="宋体" w:hAnsi="宋体"/>
          <w:bCs/>
          <w:sz w:val="28"/>
          <w:szCs w:val="28"/>
          <w:highlight w:val="none"/>
          <w:u w:val="single"/>
          <w:lang w:val="en-US" w:eastAsia="zh-CN"/>
        </w:rPr>
        <w:t>4</w:t>
      </w:r>
      <w:r>
        <w:rPr>
          <w:rFonts w:hint="eastAsia" w:ascii="宋体" w:hAnsi="宋体"/>
          <w:bCs/>
          <w:sz w:val="28"/>
          <w:szCs w:val="28"/>
          <w:highlight w:val="none"/>
          <w:lang w:val="zh-CN"/>
        </w:rPr>
        <w:t>小时内到达现场实施维修。</w:t>
      </w:r>
      <w:r>
        <w:rPr>
          <w:rFonts w:hint="eastAsia" w:ascii="宋体" w:hAnsi="宋体"/>
          <w:bCs/>
          <w:sz w:val="28"/>
          <w:szCs w:val="28"/>
          <w:highlight w:val="none"/>
          <w:u w:val="single"/>
          <w:lang w:val="zh-CN"/>
        </w:rPr>
        <w:t xml:space="preserve"> 72 </w:t>
      </w:r>
      <w:r>
        <w:rPr>
          <w:rFonts w:hint="eastAsia" w:ascii="宋体" w:hAnsi="宋体"/>
          <w:bCs/>
          <w:sz w:val="28"/>
          <w:szCs w:val="28"/>
          <w:highlight w:val="none"/>
          <w:lang w:val="zh-CN"/>
        </w:rPr>
        <w:t>小时仍未排除故障、恢复正常运转的，由投标供应商提供同类型备品、备件等。</w:t>
      </w:r>
      <w:bookmarkStart w:id="530" w:name="_Toc128397970"/>
      <w:bookmarkStart w:id="531" w:name="_Toc130887500"/>
      <w:bookmarkStart w:id="532" w:name="_Toc132190634"/>
      <w:bookmarkStart w:id="533" w:name="_Toc128151027"/>
      <w:bookmarkStart w:id="534" w:name="_Toc128150778"/>
      <w:bookmarkStart w:id="535" w:name="_Toc127820564"/>
      <w:bookmarkStart w:id="536" w:name="_Toc128150134"/>
    </w:p>
    <w:p>
      <w:pPr>
        <w:snapToGrid w:val="0"/>
        <w:spacing w:line="560" w:lineRule="exact"/>
        <w:rPr>
          <w:rFonts w:hint="eastAsia" w:ascii="黑体" w:hAnsi="黑体" w:cs="黑体"/>
          <w:b w:val="0"/>
          <w:sz w:val="28"/>
          <w:szCs w:val="28"/>
        </w:rPr>
      </w:pPr>
      <w:r>
        <w:rPr>
          <w:rFonts w:hint="eastAsia" w:ascii="黑体" w:hAnsi="黑体" w:cs="黑体"/>
          <w:b w:val="0"/>
          <w:sz w:val="28"/>
          <w:szCs w:val="28"/>
        </w:rPr>
        <w:t>二、技术要求</w:t>
      </w:r>
      <w:bookmarkEnd w:id="530"/>
      <w:bookmarkEnd w:id="531"/>
      <w:bookmarkEnd w:id="532"/>
      <w:bookmarkEnd w:id="533"/>
      <w:bookmarkEnd w:id="534"/>
      <w:bookmarkEnd w:id="535"/>
      <w:bookmarkEnd w:id="536"/>
    </w:p>
    <w:p>
      <w:pPr>
        <w:snapToGrid w:val="0"/>
        <w:spacing w:line="560" w:lineRule="exact"/>
        <w:ind w:firstLine="560" w:firstLineChars="200"/>
        <w:rPr>
          <w:rFonts w:hint="eastAsia" w:ascii="宋体" w:hAnsi="宋体" w:cs="Times New Roman"/>
          <w:bCs/>
          <w:sz w:val="28"/>
          <w:szCs w:val="28"/>
          <w:lang w:val="zh-CN" w:eastAsia="zh-CN"/>
        </w:rPr>
      </w:pPr>
      <w:r>
        <w:rPr>
          <w:rFonts w:hint="eastAsia" w:ascii="宋体" w:hAnsi="宋体" w:cs="Times New Roman"/>
          <w:bCs/>
          <w:sz w:val="28"/>
          <w:szCs w:val="28"/>
          <w:lang w:val="zh-CN" w:eastAsia="zh-CN"/>
        </w:rPr>
        <w:t>1.投标供应商提供的产品实质上应相当于或优于本需求表中的技术参数及性能（配置）要求。</w:t>
      </w:r>
    </w:p>
    <w:p>
      <w:pPr>
        <w:snapToGrid w:val="0"/>
        <w:spacing w:line="560" w:lineRule="exact"/>
        <w:ind w:firstLine="560" w:firstLineChars="200"/>
        <w:rPr>
          <w:rFonts w:hint="eastAsia" w:ascii="宋体" w:hAnsi="宋体" w:cs="Times New Roman"/>
          <w:bCs/>
          <w:sz w:val="28"/>
          <w:szCs w:val="28"/>
          <w:lang w:val="zh-CN" w:eastAsia="zh-CN"/>
        </w:rPr>
      </w:pPr>
      <w:r>
        <w:rPr>
          <w:rFonts w:hint="eastAsia" w:ascii="宋体" w:hAnsi="宋体" w:cs="Times New Roman"/>
          <w:bCs/>
          <w:sz w:val="28"/>
          <w:szCs w:val="28"/>
          <w:lang w:val="zh-CN" w:eastAsia="zh-CN"/>
        </w:rPr>
        <w:t>2.本采购项目技术和商务要求中标注★号的部分为实质性要求。</w:t>
      </w:r>
    </w:p>
    <w:p>
      <w:pPr>
        <w:rPr>
          <w:rFonts w:hAnsi="宋体"/>
          <w:bCs/>
          <w:sz w:val="28"/>
          <w:szCs w:val="28"/>
          <w:highlight w:val="yellow"/>
        </w:rPr>
        <w:sectPr>
          <w:headerReference r:id="rId9" w:type="default"/>
          <w:footerReference r:id="rId10" w:type="default"/>
          <w:pgSz w:w="11906" w:h="16838"/>
          <w:pgMar w:top="1440" w:right="1800" w:bottom="1440" w:left="1800" w:header="851" w:footer="992" w:gutter="0"/>
          <w:cols w:space="425" w:num="1"/>
          <w:docGrid w:type="lines" w:linePitch="312" w:charSpace="0"/>
        </w:sectPr>
      </w:pPr>
      <w:r>
        <w:rPr>
          <w:rFonts w:hAnsi="宋体"/>
          <w:bCs/>
          <w:sz w:val="28"/>
          <w:szCs w:val="28"/>
          <w:highlight w:val="yellow"/>
        </w:rPr>
        <w:br w:type="page"/>
      </w:r>
    </w:p>
    <w:p>
      <w:pPr>
        <w:pStyle w:val="2"/>
      </w:pPr>
    </w:p>
    <w:p>
      <w:pPr>
        <w:tabs>
          <w:tab w:val="left" w:pos="0"/>
        </w:tabs>
        <w:spacing w:line="560" w:lineRule="atLeast"/>
        <w:ind w:firstLine="560" w:firstLineChars="200"/>
        <w:rPr>
          <w:rFonts w:ascii="Arial" w:hAnsi="Arial" w:eastAsia="Arial" w:cs="Arial"/>
          <w:sz w:val="21"/>
          <w:szCs w:val="21"/>
        </w:rPr>
      </w:pPr>
      <w:r>
        <w:rPr>
          <w:rFonts w:hAnsi="宋体"/>
          <w:bCs/>
          <w:sz w:val="28"/>
          <w:szCs w:val="28"/>
          <w:highlight w:val="none"/>
        </w:rPr>
        <w:t>3.</w:t>
      </w:r>
      <w:r>
        <w:rPr>
          <w:rFonts w:hint="eastAsia" w:hAnsi="宋体"/>
          <w:bCs/>
          <w:sz w:val="28"/>
          <w:szCs w:val="28"/>
          <w:highlight w:val="none"/>
        </w:rPr>
        <w:t>技术</w:t>
      </w:r>
      <w:r>
        <w:rPr>
          <w:rFonts w:hint="eastAsia" w:ascii="Bradley Hand ITC" w:hAnsi="Bradley Hand ITC" w:cs="Microsoft Uighur"/>
          <w:bCs/>
          <w:iCs/>
          <w:sz w:val="28"/>
          <w:szCs w:val="28"/>
          <w:highlight w:val="none"/>
        </w:rPr>
        <w:t>参数</w:t>
      </w:r>
    </w:p>
    <w:p>
      <w:pP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10包参数</w:t>
      </w:r>
    </w:p>
    <w:tbl>
      <w:tblPr>
        <w:tblStyle w:val="4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11926"/>
        <w:gridCol w:w="739"/>
        <w:gridCol w:w="298"/>
        <w:gridCol w:w="298"/>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4081" w:type="dxa"/>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肝功能剪切波量化检测仪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技术和性能参数名称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判断</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技术性能参数</w:t>
            </w:r>
          </w:p>
        </w:tc>
        <w:tc>
          <w:tcPr>
            <w:tcW w:w="298"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检测和评估肝纤维化程度 适合定量监测和评估各类慢性肝病导致的肝纤维化程度。利用瞬时弹性成像技术与剪切波安全无创的特点，每次检测显示量化的肝脏硬度值，以定量评估肝纤维化程度。广泛应用于慢性肝病纤维化程度的确认，肝病治疗效果的评估，治疗过程监控，肝硬化并发症的预测以及健康人群的肝纤维化筛查。提供注册证证明。</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专用系统电源输入 AC220V±10%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设备形式 专用可移动一体化单元车</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4</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探头组成方式 影像引导探头与硬度检测探头连接同一台主机及控制中心</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探头剪切波触动方式 脚踏开关触发探头剪切波发射</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6</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控制平台 高速处理及控制平台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显示器 ≥21.5"高分辨率宽屏液晶显示器；分辨率≥1440*900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8</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自由臂 支持自由臂可调节的维度≥2个，包含左右旋转≥90º；上下俯仰≥15º</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信号端口 USB≥4个，网口，脚踏开关接口</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10</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DICOM接口 DICOM3.0标准图像和患者信息传输</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硬度检测探头接口 1个</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12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影像引导探头接口 支持3个，非扩展接口。</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专用人机交互控制面板 用于人机交互功能操作，人性化功能分区</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14</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影像引导功能 全数字彩超影像模块</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纤维扫描功能 数字化肝纤维诊断模块</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16</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穿刺引导 支持穿刺引导，具有穿刺线校正功能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内存 大容量内存≥4G</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18</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存储容量 ≥1T</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超声诊断系统功能</w:t>
            </w:r>
            <w:r>
              <w:rPr>
                <w:rStyle w:val="222"/>
                <w:rFonts w:eastAsia="宋体"/>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20</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二维影像功能 二维超声影像功能评估肝脏和脾脏组织形态变化；可用于人体腹部、盆腔脏器的超声诊断。提供注册证证明。</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图像放大功能 可局部放大</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22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回放文件播放 具有回放文件播放功能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显示模式 A/M/E；B、B/B、4B、B/M、M、PWD、CFM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24</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A模式实时显示 具备A模式，支持实时超声信号幅度显示</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测量分析模块 全套的测量和分析包，支持门静脉宽度(PVW) 、脾长径/短径、脾静脉宽度等测量</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26</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数据库 患者信息数据库</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图像存储功能 快速存储至本地硬盘；通过USB接口快速存储至外接存储器</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28</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打印功能 黑白和彩色打印机快速打印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信息传输编辑软件对接模块 实现信息传输编辑软件与医院信息系统的对接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30</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信息接口对接软件模块 可选配DICOM网络接口-协议数据对接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快捷查询功能 具有快捷查询功能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32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多用户管理 具有多用户管理功能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系统自动诊断功能 具有系统自动诊断功能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34</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自动清理功能 具有自动清理功能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远程功能 具有远程功能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36</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Http&amp;JSON功能 支持Http&amp;JSON功能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影像探头数量 1个</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38</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影像探头类型 腹部影像探头</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声工作频率 2.0MHz--5.0MHz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40</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侧向分辨率 3.5MHz：≤3mm（深度≤80mm）；≤4mm（80mm＜深度≤130mm）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轴向分辨率 3.5MHz：≤2mm(深度≤80mm) ；≤3mm(80mm＜深度≤130mm)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42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盲区 ≤5mm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检测深度 3.5MHz：≥160mm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44</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硬度检测探头 适用于全体型人群的硬度检测探头，即无需为适应不同体型而更换探头(提供指南推荐)。</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硬度检测探头数量 1个</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46</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硬度检测探头 融合超声波及剪切波一体化探头</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单一硬度检测探头超声波频率 需宽频波，频率范围1.5MHz-5.0MHz</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48</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剪切波探头传感器直径（提供检验报告及技术要求规定） ≤8mm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剪切波探头前端传感器为圆形且最大宽度 不高于8mm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50</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探头频率自适应调节</w:t>
            </w:r>
            <w:r>
              <w:rPr>
                <w:rStyle w:val="222"/>
                <w:rFonts w:eastAsia="宋体"/>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自动检测皮肤表面到肝脏包膜的距离，并自动调节探头传感器频率</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剪切波频率 50 Hz</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52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单一硬度检测探头测量深度范围 15mm-80mm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单一硬度检测探头硬度最大检测值（提供检验报告及技术要求规定） 不低于80kPa</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54</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单一硬度检测探头硬度最小检测值（提供检验报告及技术要求规定） 不高于1kPa</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硬度测量误差 ≤±0.5kPa</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56</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硬度测量测量重复性误差（提供检验报告及技术要求规定） ≤3%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脂肪衰减参数检测范围（提供检验报告及技术要求规定） 90dB/m-430dB/m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58</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脂肪衰减参数测量误差 ≤±5dB/m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脂肪衰减参数测量重复性误差（提供检验报告及技术要求规定） ≤3%</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60</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肝脏定位 超声影像引导检查者精确定位肝区，避开肝脏大血管、囊肿等，选择最佳位置；</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 取样点定位 B超进行肝脏引导定位；A超、M超自动同步显示确定取样点的位置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62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肝脏自动识别功能 通过色带颜色反映肝内超声信号的质量，提示肝脏位置，辅助硬度检测探头定位。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压力过载保护功能 压力指示窗口实时监测探头承受压力范围，并具有压力过载自动保护功能，压力过载时自动提示并停止检测</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64</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量化分析 软件自动分析测量结果</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显示值 患者信息、中位数、硬度值、IQR、成功率、测量次数、脂肪衰减参数值等</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66</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弹性图 弹性结果图显示测量深度及时间</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测量单位 硬度单位kPa，脂肪衰减参数dB/m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68</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存储 无需操作，自动保存病例</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报告 图形、数字报告</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70</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病例导出 支持导出病例全部信息</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病例管理 支持新建、加载、保存、查询、删除等病例管理</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ahoma" w:hAnsi="Tahoma" w:eastAsia="Tahoma" w:cs="Tahoma"/>
                <w:b/>
                <w:bCs/>
                <w:i w:val="0"/>
                <w:iCs w:val="0"/>
                <w:color w:val="000000"/>
                <w:sz w:val="18"/>
                <w:szCs w:val="18"/>
                <w:u w:val="none"/>
              </w:rPr>
            </w:pPr>
            <w:r>
              <w:rPr>
                <w:rFonts w:hint="default" w:ascii="Tahoma" w:hAnsi="Tahoma" w:eastAsia="Tahoma" w:cs="Tahoma"/>
                <w:b/>
                <w:bCs/>
                <w:i w:val="0"/>
                <w:iCs w:val="0"/>
                <w:color w:val="000000"/>
                <w:kern w:val="0"/>
                <w:sz w:val="18"/>
                <w:szCs w:val="18"/>
                <w:u w:val="none"/>
                <w:lang w:val="en-US" w:eastAsia="zh-CN" w:bidi="ar"/>
              </w:rPr>
              <w:t>72</w:t>
            </w:r>
          </w:p>
        </w:tc>
        <w:tc>
          <w:tcPr>
            <w:tcW w:w="1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病例搜索 按要求筛选病例</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r>
              <w:rPr>
                <w:rStyle w:val="225"/>
                <w:lang w:val="en-US" w:eastAsia="zh-CN" w:bidi="ar"/>
              </w:rPr>
              <w:t>/</w:t>
            </w:r>
            <w:r>
              <w:rPr>
                <w:rStyle w:val="226"/>
                <w:lang w:val="en-US" w:eastAsia="zh-CN" w:bidi="ar"/>
              </w:rPr>
              <w:t>否</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w:t>
            </w: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c>
          <w:tcPr>
            <w:tcW w:w="2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ahoma" w:hAnsi="Tahoma" w:eastAsia="Tahoma" w:cs="Tahoma"/>
                <w:b/>
                <w:bCs/>
                <w:i w:val="0"/>
                <w:iCs w:val="0"/>
                <w:color w:val="000000"/>
                <w:sz w:val="18"/>
                <w:szCs w:val="18"/>
                <w:u w:val="none"/>
              </w:rPr>
            </w:pPr>
          </w:p>
        </w:tc>
      </w:tr>
    </w:tbl>
    <w:p>
      <w:pPr>
        <w:sectPr>
          <w:pgSz w:w="16838" w:h="11906" w:orient="landscape"/>
          <w:pgMar w:top="1800" w:right="1440" w:bottom="1800" w:left="1440" w:header="851" w:footer="992" w:gutter="0"/>
          <w:cols w:space="425" w:num="1"/>
          <w:docGrid w:type="lines" w:linePitch="312" w:charSpace="0"/>
        </w:sectPr>
      </w:pPr>
      <w:r>
        <w:rPr>
          <w:rFonts w:ascii="Arial" w:hAnsi="Arial" w:eastAsia="Arial" w:cs="Arial"/>
          <w:sz w:val="21"/>
          <w:szCs w:val="21"/>
        </w:rPr>
        <w:br w:type="page"/>
      </w:r>
    </w:p>
    <w:p/>
    <w:p/>
    <w:p>
      <w:pPr>
        <w:pStyle w:val="6"/>
        <w:keepNext w:val="0"/>
        <w:keepLines w:val="0"/>
        <w:adjustRightInd w:val="0"/>
        <w:snapToGrid w:val="0"/>
        <w:spacing w:line="560" w:lineRule="exact"/>
        <w:jc w:val="center"/>
        <w:rPr>
          <w:b w:val="0"/>
          <w:bCs/>
          <w:sz w:val="44"/>
          <w:szCs w:val="44"/>
          <w:lang w:val="zh-CN"/>
        </w:rPr>
      </w:pPr>
      <w:bookmarkStart w:id="537" w:name="_Toc8828"/>
      <w:bookmarkStart w:id="538" w:name="_Toc19000"/>
      <w:bookmarkStart w:id="539" w:name="_Toc10039"/>
      <w:bookmarkStart w:id="540" w:name="_Toc29530"/>
      <w:bookmarkStart w:id="541" w:name="_Toc128150779"/>
      <w:bookmarkStart w:id="542" w:name="_Toc128397971"/>
      <w:bookmarkStart w:id="543" w:name="_Toc128150135"/>
      <w:bookmarkStart w:id="544" w:name="_Toc130657537"/>
      <w:bookmarkStart w:id="545" w:name="_Toc127820565"/>
      <w:bookmarkStart w:id="546" w:name="_Toc130657991"/>
      <w:bookmarkStart w:id="547" w:name="_Toc132190635"/>
      <w:bookmarkStart w:id="548" w:name="_Toc128151028"/>
      <w:bookmarkStart w:id="549" w:name="_Toc130886998"/>
      <w:bookmarkStart w:id="550" w:name="_Toc130887501"/>
      <w:r>
        <w:rPr>
          <w:rFonts w:hint="eastAsia"/>
          <w:b w:val="0"/>
          <w:szCs w:val="44"/>
          <w:lang w:val="zh-CN"/>
        </w:rPr>
        <w:t>第七章</w:t>
      </w:r>
      <w:r>
        <w:rPr>
          <w:b w:val="0"/>
          <w:szCs w:val="44"/>
          <w:lang w:val="zh-CN"/>
        </w:rPr>
        <w:t xml:space="preserve"> </w:t>
      </w:r>
      <w:r>
        <w:rPr>
          <w:rFonts w:hint="eastAsia"/>
          <w:b w:val="0"/>
          <w:szCs w:val="44"/>
          <w:lang w:val="zh-CN"/>
        </w:rPr>
        <w:t>合同</w:t>
      </w:r>
      <w:bookmarkEnd w:id="537"/>
      <w:bookmarkEnd w:id="538"/>
      <w:bookmarkEnd w:id="539"/>
      <w:bookmarkEnd w:id="540"/>
      <w:r>
        <w:rPr>
          <w:rFonts w:hint="eastAsia"/>
          <w:b w:val="0"/>
          <w:szCs w:val="44"/>
          <w:lang w:val="zh-CN"/>
        </w:rPr>
        <w:t>样本</w:t>
      </w:r>
      <w:bookmarkEnd w:id="541"/>
      <w:bookmarkEnd w:id="542"/>
      <w:bookmarkEnd w:id="543"/>
      <w:bookmarkEnd w:id="544"/>
      <w:bookmarkEnd w:id="545"/>
      <w:bookmarkEnd w:id="546"/>
      <w:bookmarkEnd w:id="547"/>
      <w:bookmarkEnd w:id="548"/>
      <w:bookmarkEnd w:id="549"/>
      <w:bookmarkEnd w:id="550"/>
    </w:p>
    <w:p/>
    <w:p>
      <w:pPr>
        <w:pStyle w:val="20"/>
      </w:pPr>
    </w:p>
    <w:p>
      <w:pPr>
        <w:spacing w:before="156" w:beforeLines="50" w:after="156" w:afterLines="50" w:line="560" w:lineRule="exact"/>
        <w:jc w:val="center"/>
        <w:rPr>
          <w:rFonts w:ascii="宋体" w:hAnsi="宋体" w:cs="宋体"/>
          <w:bCs/>
          <w:sz w:val="44"/>
          <w:szCs w:val="44"/>
        </w:rPr>
      </w:pPr>
      <w:r>
        <w:rPr>
          <w:rFonts w:hint="eastAsia" w:ascii="宋体" w:hAnsi="宋体" w:cs="宋体"/>
          <w:bCs/>
          <w:sz w:val="44"/>
          <w:szCs w:val="44"/>
          <w:u w:val="single"/>
        </w:rPr>
        <w:t xml:space="preserve">             </w:t>
      </w:r>
      <w:r>
        <w:rPr>
          <w:rFonts w:hint="eastAsia" w:ascii="宋体" w:hAnsi="宋体" w:cs="宋体"/>
          <w:bCs/>
          <w:sz w:val="44"/>
          <w:szCs w:val="44"/>
        </w:rPr>
        <w:t>采购项目</w:t>
      </w:r>
    </w:p>
    <w:p>
      <w:pPr>
        <w:spacing w:before="156" w:after="156"/>
        <w:jc w:val="center"/>
        <w:rPr>
          <w:rFonts w:hint="eastAsia"/>
          <w:sz w:val="44"/>
          <w:szCs w:val="44"/>
        </w:rPr>
      </w:pPr>
      <w:r>
        <w:rPr>
          <w:rFonts w:hint="eastAsia"/>
          <w:sz w:val="44"/>
          <w:szCs w:val="44"/>
        </w:rPr>
        <w:t>合同样本</w:t>
      </w:r>
    </w:p>
    <w:p>
      <w:pPr>
        <w:pStyle w:val="20"/>
        <w:spacing w:before="156" w:after="156"/>
        <w:ind w:firstLine="420"/>
      </w:pPr>
    </w:p>
    <w:p>
      <w:pPr>
        <w:spacing w:before="156" w:after="156"/>
      </w:pPr>
    </w:p>
    <w:p>
      <w:pPr>
        <w:pStyle w:val="20"/>
        <w:spacing w:before="156" w:after="156"/>
      </w:pPr>
    </w:p>
    <w:p>
      <w:pPr>
        <w:spacing w:before="156" w:after="156"/>
        <w:ind w:firstLine="420"/>
      </w:pPr>
    </w:p>
    <w:p>
      <w:pPr>
        <w:pStyle w:val="20"/>
        <w:spacing w:before="156" w:after="156"/>
        <w:ind w:firstLine="1418"/>
        <w:rPr>
          <w:sz w:val="32"/>
          <w:szCs w:val="32"/>
          <w:u w:val="single"/>
        </w:rPr>
      </w:pPr>
      <w:r>
        <w:rPr>
          <w:rFonts w:hint="eastAsia"/>
          <w:sz w:val="32"/>
          <w:szCs w:val="32"/>
        </w:rPr>
        <w:t>项目名称：</w:t>
      </w:r>
      <w:r>
        <w:rPr>
          <w:sz w:val="32"/>
          <w:szCs w:val="32"/>
          <w:u w:val="single"/>
        </w:rPr>
        <w:t xml:space="preserve">                           </w:t>
      </w:r>
    </w:p>
    <w:p>
      <w:pPr>
        <w:spacing w:before="156" w:after="156"/>
        <w:ind w:firstLine="1418"/>
        <w:rPr>
          <w:sz w:val="32"/>
          <w:szCs w:val="32"/>
        </w:rPr>
      </w:pPr>
      <w:r>
        <w:rPr>
          <w:rFonts w:hint="eastAsia"/>
          <w:sz w:val="32"/>
          <w:szCs w:val="32"/>
        </w:rPr>
        <w:t>项目编号：</w:t>
      </w:r>
      <w:r>
        <w:rPr>
          <w:sz w:val="32"/>
          <w:szCs w:val="32"/>
          <w:u w:val="single"/>
        </w:rPr>
        <w:t xml:space="preserve">                           </w:t>
      </w:r>
    </w:p>
    <w:p>
      <w:pPr>
        <w:pStyle w:val="20"/>
        <w:spacing w:before="156" w:after="156"/>
        <w:ind w:firstLine="1418"/>
        <w:rPr>
          <w:sz w:val="32"/>
          <w:szCs w:val="32"/>
        </w:rPr>
      </w:pPr>
      <w:r>
        <w:rPr>
          <w:rFonts w:hint="eastAsia"/>
          <w:sz w:val="32"/>
          <w:szCs w:val="32"/>
        </w:rPr>
        <w:t>合同编号：</w:t>
      </w:r>
      <w:r>
        <w:rPr>
          <w:sz w:val="32"/>
          <w:szCs w:val="32"/>
          <w:u w:val="single"/>
        </w:rPr>
        <w:t xml:space="preserve">                           </w:t>
      </w:r>
    </w:p>
    <w:p>
      <w:pPr>
        <w:spacing w:before="156" w:after="156"/>
        <w:ind w:firstLine="1418"/>
        <w:rPr>
          <w:sz w:val="32"/>
          <w:szCs w:val="32"/>
        </w:rPr>
      </w:pPr>
    </w:p>
    <w:p>
      <w:pPr>
        <w:pStyle w:val="20"/>
        <w:spacing w:before="156" w:after="156"/>
        <w:ind w:firstLine="1385" w:firstLineChars="433"/>
        <w:jc w:val="left"/>
        <w:rPr>
          <w:sz w:val="32"/>
          <w:szCs w:val="32"/>
        </w:rPr>
      </w:pPr>
      <w:r>
        <w:rPr>
          <w:rFonts w:hint="eastAsia"/>
          <w:sz w:val="32"/>
          <w:szCs w:val="32"/>
        </w:rPr>
        <w:t>甲方（采购单位）：</w:t>
      </w:r>
      <w:r>
        <w:rPr>
          <w:sz w:val="32"/>
          <w:szCs w:val="32"/>
          <w:u w:val="single"/>
        </w:rPr>
        <w:t xml:space="preserve">                    </w:t>
      </w:r>
    </w:p>
    <w:p>
      <w:pPr>
        <w:pStyle w:val="20"/>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sz w:val="32"/>
          <w:szCs w:val="32"/>
          <w:u w:val="single"/>
        </w:rPr>
        <w:t xml:space="preserve"> </w:t>
      </w:r>
      <w:r>
        <w:rPr>
          <w:sz w:val="28"/>
          <w:szCs w:val="28"/>
          <w:u w:val="single"/>
        </w:rPr>
        <w:t xml:space="preserve"> </w:t>
      </w:r>
      <w:r>
        <w:rPr>
          <w:sz w:val="32"/>
          <w:szCs w:val="32"/>
          <w:u w:val="single"/>
        </w:rPr>
        <w:t xml:space="preserve">                  </w:t>
      </w:r>
    </w:p>
    <w:p>
      <w:pPr>
        <w:pStyle w:val="20"/>
        <w:spacing w:before="156" w:after="156"/>
        <w:ind w:firstLine="1418"/>
      </w:pPr>
    </w:p>
    <w:p>
      <w:pPr>
        <w:pStyle w:val="20"/>
        <w:spacing w:before="156" w:after="156"/>
        <w:ind w:firstLine="1418"/>
        <w:rPr>
          <w:sz w:val="32"/>
          <w:szCs w:val="32"/>
        </w:rPr>
      </w:pPr>
    </w:p>
    <w:p>
      <w:pPr>
        <w:pStyle w:val="20"/>
        <w:spacing w:before="156" w:after="156"/>
        <w:ind w:firstLine="1418"/>
        <w:rPr>
          <w:sz w:val="32"/>
          <w:szCs w:val="32"/>
        </w:rPr>
      </w:pPr>
      <w:r>
        <w:rPr>
          <w:rFonts w:hint="eastAsia"/>
          <w:sz w:val="32"/>
          <w:szCs w:val="32"/>
        </w:rPr>
        <w:t>签订时间：</w:t>
      </w:r>
      <w:r>
        <w:rPr>
          <w:sz w:val="32"/>
          <w:szCs w:val="32"/>
          <w:u w:val="single"/>
        </w:rPr>
        <w:t xml:space="preserve">                           </w:t>
      </w:r>
    </w:p>
    <w:p>
      <w:pPr>
        <w:pStyle w:val="20"/>
        <w:spacing w:before="156" w:after="156"/>
        <w:ind w:firstLine="1418"/>
        <w:rPr>
          <w:sz w:val="32"/>
          <w:szCs w:val="32"/>
          <w:u w:val="single"/>
        </w:rPr>
      </w:pPr>
      <w:r>
        <w:rPr>
          <w:rFonts w:hint="eastAsia"/>
          <w:sz w:val="32"/>
          <w:szCs w:val="32"/>
        </w:rPr>
        <w:t>签订地点：</w:t>
      </w:r>
      <w:r>
        <w:rPr>
          <w:sz w:val="32"/>
          <w:szCs w:val="32"/>
          <w:u w:val="single"/>
        </w:rPr>
        <w:t xml:space="preserve">                           </w:t>
      </w:r>
    </w:p>
    <w:p>
      <w:pPr>
        <w:widowControl/>
        <w:jc w:val="left"/>
        <w:rPr>
          <w:sz w:val="21"/>
        </w:rPr>
      </w:pPr>
      <w:r>
        <w:br w:type="page"/>
      </w:r>
    </w:p>
    <w:p>
      <w:pPr>
        <w:spacing w:before="156" w:beforeLines="50" w:after="156"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  合同通用条款</w:t>
      </w:r>
    </w:p>
    <w:p>
      <w:pPr>
        <w:spacing w:before="156" w:beforeLines="50" w:after="156" w:afterLines="50" w:line="560" w:lineRule="exact"/>
        <w:jc w:val="center"/>
        <w:rPr>
          <w:rFonts w:hint="eastAsia" w:ascii="宋体" w:hAnsi="宋体" w:cs="宋体"/>
          <w:bCs/>
          <w:sz w:val="28"/>
          <w:szCs w:val="28"/>
        </w:rPr>
      </w:pPr>
      <w:r>
        <w:rPr>
          <w:rFonts w:hint="eastAsia" w:ascii="宋体" w:hAnsi="宋体" w:cs="宋体"/>
          <w:bCs/>
          <w:sz w:val="28"/>
          <w:szCs w:val="28"/>
        </w:rPr>
        <w:t>（见招标文件通用文件中《合同通用条款》）</w:t>
      </w:r>
    </w:p>
    <w:p>
      <w:pPr>
        <w:pStyle w:val="20"/>
        <w:spacing w:before="156" w:after="156"/>
        <w:ind w:firstLine="420"/>
        <w:rPr>
          <w:rFonts w:hint="eastAsia"/>
        </w:rPr>
      </w:pPr>
    </w:p>
    <w:p>
      <w:pPr>
        <w:spacing w:before="156" w:beforeLines="50" w:after="156"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pPr>
        <w:spacing w:before="156" w:beforeLines="50" w:after="156" w:afterLines="50" w:line="560" w:lineRule="exact"/>
        <w:jc w:val="center"/>
        <w:rPr>
          <w:rFonts w:hint="eastAsia"/>
          <w:sz w:val="28"/>
          <w:szCs w:val="28"/>
        </w:rPr>
      </w:pPr>
      <w:r>
        <w:rPr>
          <w:rFonts w:hint="eastAsia" w:ascii="宋体" w:hAnsi="宋体" w:cs="宋体"/>
          <w:bCs/>
          <w:sz w:val="28"/>
          <w:szCs w:val="28"/>
        </w:rPr>
        <w:t>（</w:t>
      </w:r>
      <w:r>
        <w:rPr>
          <w:rFonts w:hint="eastAsia" w:ascii="宋体" w:hAnsi="宋体" w:cs="宋体"/>
          <w:bCs/>
          <w:i/>
          <w:iCs/>
          <w:sz w:val="28"/>
          <w:szCs w:val="28"/>
        </w:rPr>
        <w:t>采购项目有专用合同范本的，按范本拟制</w:t>
      </w:r>
      <w:r>
        <w:rPr>
          <w:rFonts w:hint="eastAsia" w:ascii="宋体" w:hAnsi="宋体" w:cs="宋体"/>
          <w:bCs/>
          <w:sz w:val="28"/>
          <w:szCs w:val="28"/>
        </w:rPr>
        <w:t>）</w:t>
      </w:r>
    </w:p>
    <w:p>
      <w:pPr>
        <w:pStyle w:val="20"/>
      </w:pPr>
    </w:p>
    <w:p>
      <w:pPr>
        <w:pStyle w:val="7"/>
        <w:numPr>
          <w:ilvl w:val="2"/>
          <w:numId w:val="0"/>
        </w:numPr>
        <w:tabs>
          <w:tab w:val="clear" w:pos="1820"/>
        </w:tabs>
        <w:spacing w:before="0" w:after="0" w:line="560" w:lineRule="exact"/>
        <w:rPr>
          <w:rFonts w:ascii="黑体" w:hAnsi="黑体" w:cs="黑体"/>
          <w:b w:val="0"/>
          <w:sz w:val="28"/>
          <w:szCs w:val="28"/>
        </w:rPr>
      </w:pPr>
      <w:bookmarkStart w:id="551" w:name="_Toc130657538"/>
      <w:bookmarkStart w:id="552" w:name="_Toc14055"/>
      <w:bookmarkStart w:id="553" w:name="_Toc130886999"/>
      <w:bookmarkStart w:id="554" w:name="_Toc4752"/>
      <w:bookmarkStart w:id="555" w:name="_Toc127820566"/>
      <w:bookmarkStart w:id="556" w:name="_Toc130657992"/>
      <w:bookmarkStart w:id="557" w:name="_Toc128151029"/>
      <w:bookmarkStart w:id="558" w:name="_Toc128150136"/>
      <w:bookmarkStart w:id="559" w:name="_Toc128150780"/>
      <w:bookmarkStart w:id="560" w:name="_Toc132190636"/>
      <w:bookmarkStart w:id="561" w:name="_Toc26788"/>
      <w:bookmarkStart w:id="562" w:name="_Toc28909"/>
      <w:bookmarkStart w:id="563" w:name="_Toc128397972"/>
      <w:bookmarkStart w:id="564" w:name="_Toc130887502"/>
      <w:r>
        <w:rPr>
          <w:rFonts w:hint="eastAsia" w:ascii="黑体" w:hAnsi="黑体" w:cs="黑体"/>
          <w:b w:val="0"/>
          <w:sz w:val="28"/>
          <w:szCs w:val="28"/>
        </w:rPr>
        <w:t>一、项目信息</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pPr>
        <w:adjustRightInd w:val="0"/>
        <w:snapToGrid w:val="0"/>
        <w:spacing w:line="560" w:lineRule="exact"/>
        <w:ind w:firstLine="560" w:firstLineChars="200"/>
        <w:rPr>
          <w:rFonts w:hint="eastAsia" w:ascii="宋体" w:hAnsi="宋体" w:cs="宋体"/>
          <w:bCs/>
          <w:sz w:val="28"/>
          <w:szCs w:val="28"/>
        </w:rPr>
      </w:pPr>
      <w:r>
        <w:rPr>
          <w:rFonts w:hint="eastAsia" w:ascii="宋体" w:hAnsi="宋体" w:cs="宋体"/>
          <w:bCs/>
          <w:sz w:val="28"/>
          <w:szCs w:val="28"/>
        </w:rPr>
        <w:t>签订日期：</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pPr>
        <w:adjustRightInd w:val="0"/>
        <w:snapToGrid w:val="0"/>
        <w:spacing w:line="560" w:lineRule="exact"/>
        <w:ind w:firstLine="560" w:firstLineChars="200"/>
        <w:rPr>
          <w:rFonts w:hint="eastAsia" w:ascii="宋体" w:hAnsi="宋体" w:cs="宋体"/>
          <w:bCs/>
          <w:sz w:val="28"/>
          <w:szCs w:val="28"/>
        </w:rPr>
      </w:pPr>
      <w:r>
        <w:rPr>
          <w:rFonts w:hint="eastAsia" w:ascii="宋体" w:hAnsi="宋体" w:cs="宋体"/>
          <w:bCs/>
          <w:sz w:val="28"/>
          <w:szCs w:val="28"/>
        </w:rPr>
        <w:t>签订地点：</w:t>
      </w:r>
      <w:r>
        <w:rPr>
          <w:rFonts w:hint="eastAsia" w:ascii="宋体" w:hAnsi="宋体" w:cs="宋体"/>
          <w:bCs/>
          <w:sz w:val="28"/>
          <w:szCs w:val="28"/>
          <w:u w:val="single"/>
        </w:rPr>
        <w:t xml:space="preserve">              </w:t>
      </w:r>
    </w:p>
    <w:p>
      <w:pPr>
        <w:pStyle w:val="7"/>
        <w:numPr>
          <w:ilvl w:val="2"/>
          <w:numId w:val="0"/>
        </w:numPr>
        <w:tabs>
          <w:tab w:val="clear" w:pos="1820"/>
        </w:tabs>
        <w:spacing w:before="0" w:after="0" w:line="560" w:lineRule="exact"/>
        <w:ind w:leftChars="200"/>
        <w:rPr>
          <w:rFonts w:hint="eastAsia" w:ascii="黑体" w:hAnsi="黑体" w:cs="黑体"/>
          <w:b w:val="0"/>
          <w:sz w:val="28"/>
          <w:szCs w:val="28"/>
        </w:rPr>
      </w:pPr>
      <w:bookmarkStart w:id="565" w:name="_Toc17818"/>
      <w:bookmarkStart w:id="566" w:name="_Toc21856"/>
      <w:bookmarkStart w:id="567" w:name="_Toc1552"/>
      <w:bookmarkStart w:id="568" w:name="_Toc21749"/>
      <w:bookmarkStart w:id="569" w:name="_Toc130887503"/>
      <w:bookmarkStart w:id="570" w:name="_Toc127820567"/>
      <w:bookmarkStart w:id="571" w:name="_Toc128397973"/>
      <w:bookmarkStart w:id="572" w:name="_Toc128150137"/>
      <w:bookmarkStart w:id="573" w:name="_Toc128151030"/>
      <w:bookmarkStart w:id="574" w:name="_Toc130887000"/>
      <w:bookmarkStart w:id="575" w:name="_Toc128150781"/>
      <w:bookmarkStart w:id="576" w:name="_Toc130657993"/>
      <w:bookmarkStart w:id="577" w:name="_Toc130657539"/>
      <w:bookmarkStart w:id="578" w:name="_Toc132190637"/>
      <w:r>
        <w:rPr>
          <w:rFonts w:hint="eastAsia" w:ascii="黑体" w:hAnsi="黑体" w:cs="黑体"/>
          <w:b w:val="0"/>
          <w:sz w:val="28"/>
          <w:szCs w:val="28"/>
        </w:rPr>
        <w:t>二、物资内容</w:t>
      </w:r>
      <w:bookmarkEnd w:id="565"/>
      <w:bookmarkEnd w:id="566"/>
      <w:bookmarkEnd w:id="567"/>
      <w:bookmarkEnd w:id="568"/>
      <w:r>
        <w:rPr>
          <w:rFonts w:hint="eastAsia" w:ascii="黑体" w:hAnsi="黑体" w:cs="黑体"/>
          <w:b w:val="0"/>
          <w:sz w:val="28"/>
          <w:szCs w:val="28"/>
        </w:rPr>
        <w:t>及质量要求和技术标准</w:t>
      </w:r>
      <w:bookmarkEnd w:id="569"/>
      <w:bookmarkEnd w:id="570"/>
      <w:bookmarkEnd w:id="571"/>
      <w:bookmarkEnd w:id="572"/>
      <w:bookmarkEnd w:id="573"/>
      <w:bookmarkEnd w:id="574"/>
      <w:bookmarkEnd w:id="575"/>
      <w:bookmarkEnd w:id="576"/>
      <w:bookmarkEnd w:id="577"/>
      <w:bookmarkEnd w:id="578"/>
    </w:p>
    <w:tbl>
      <w:tblPr>
        <w:tblStyle w:val="45"/>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49"/>
        <w:gridCol w:w="1179"/>
        <w:gridCol w:w="992"/>
        <w:gridCol w:w="709"/>
        <w:gridCol w:w="841"/>
        <w:gridCol w:w="1285"/>
        <w:gridCol w:w="851"/>
        <w:gridCol w:w="850"/>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序号</w:t>
            </w:r>
          </w:p>
        </w:tc>
        <w:tc>
          <w:tcPr>
            <w:tcW w:w="94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物资</w:t>
            </w:r>
          </w:p>
          <w:p>
            <w:pPr>
              <w:spacing w:line="276" w:lineRule="auto"/>
              <w:jc w:val="center"/>
              <w:rPr>
                <w:rFonts w:hint="eastAsia" w:ascii="宋体" w:hAnsi="宋体" w:cs="宋体"/>
                <w:bCs/>
                <w:spacing w:val="-4"/>
              </w:rPr>
            </w:pPr>
            <w:r>
              <w:rPr>
                <w:rFonts w:hint="eastAsia" w:ascii="宋体" w:hAnsi="宋体" w:cs="宋体"/>
                <w:bCs/>
                <w:spacing w:val="-4"/>
              </w:rPr>
              <w:t>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品种码</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数量</w:t>
            </w:r>
          </w:p>
        </w:tc>
        <w:tc>
          <w:tcPr>
            <w:tcW w:w="12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技术参数</w:t>
            </w:r>
          </w:p>
        </w:tc>
        <w:tc>
          <w:tcPr>
            <w:tcW w:w="85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单价</w:t>
            </w:r>
          </w:p>
          <w:p>
            <w:pPr>
              <w:spacing w:line="276" w:lineRule="auto"/>
              <w:jc w:val="center"/>
              <w:rPr>
                <w:rFonts w:hint="eastAsia" w:ascii="宋体" w:hAnsi="宋体" w:cs="宋体"/>
                <w:bCs/>
                <w:spacing w:val="-4"/>
              </w:rPr>
            </w:pPr>
            <w:r>
              <w:rPr>
                <w:rFonts w:hint="eastAsia" w:ascii="宋体" w:hAnsi="宋体" w:cs="宋体"/>
                <w:bCs/>
                <w:spacing w:val="-4"/>
              </w:rPr>
              <w:t>（元）</w:t>
            </w:r>
          </w:p>
        </w:tc>
        <w:tc>
          <w:tcPr>
            <w:tcW w:w="8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总价</w:t>
            </w:r>
          </w:p>
          <w:p>
            <w:pPr>
              <w:spacing w:line="276" w:lineRule="auto"/>
              <w:jc w:val="center"/>
              <w:rPr>
                <w:rFonts w:hint="eastAsia" w:ascii="宋体" w:hAnsi="宋体" w:cs="宋体"/>
                <w:bCs/>
                <w:spacing w:val="-4"/>
              </w:rPr>
            </w:pPr>
            <w:r>
              <w:rPr>
                <w:rFonts w:hint="eastAsia" w:ascii="宋体" w:hAnsi="宋体" w:cs="宋体"/>
                <w:bCs/>
                <w:spacing w:val="-4"/>
              </w:rPr>
              <w:t>（元）</w:t>
            </w:r>
          </w:p>
        </w:tc>
        <w:tc>
          <w:tcPr>
            <w:tcW w:w="7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bCs/>
                <w:spacing w:val="-4"/>
              </w:rPr>
            </w:pPr>
            <w:r>
              <w:rPr>
                <w:rFonts w:hint="eastAsia" w:ascii="宋体" w:hAnsi="宋体" w:cs="宋体"/>
                <w:bCs/>
                <w:spacing w:val="-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r>
              <w:rPr>
                <w:rFonts w:hint="eastAsia" w:ascii="宋体" w:hAnsi="宋体" w:cs="宋体"/>
                <w:bCs/>
                <w:spacing w:val="-4"/>
              </w:rPr>
              <w:t>1</w:t>
            </w: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c>
          <w:tcPr>
            <w:tcW w:w="11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r>
              <w:rPr>
                <w:rFonts w:hint="eastAsia" w:ascii="宋体" w:hAnsi="宋体" w:cs="宋体"/>
                <w:bCs/>
                <w:i/>
                <w:spacing w:val="-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c>
          <w:tcPr>
            <w:tcW w:w="8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i/>
                <w:spacing w:val="-4"/>
              </w:rPr>
            </w:pPr>
            <w:r>
              <w:rPr>
                <w:rFonts w:hint="eastAsia" w:ascii="宋体" w:hAnsi="宋体" w:cs="宋体"/>
                <w:bCs/>
                <w:i/>
                <w:spacing w:val="-4"/>
              </w:rPr>
              <w:t>技术参数应当与投标文件一致，如内容较多，可以附页形式呈现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r>
              <w:rPr>
                <w:rFonts w:hint="eastAsia" w:ascii="宋体" w:hAnsi="宋体" w:cs="宋体"/>
                <w:bCs/>
                <w:spacing w:val="-4"/>
              </w:rPr>
              <w:t>……</w:t>
            </w:r>
          </w:p>
        </w:tc>
        <w:tc>
          <w:tcPr>
            <w:tcW w:w="9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c>
          <w:tcPr>
            <w:tcW w:w="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pacing w:val="-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589"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r>
              <w:rPr>
                <w:rFonts w:hint="eastAsia" w:ascii="宋体" w:hAnsi="宋体" w:cs="宋体"/>
                <w:bCs/>
                <w:spacing w:val="-4"/>
              </w:rPr>
              <w:t>合  计</w:t>
            </w:r>
          </w:p>
        </w:tc>
        <w:tc>
          <w:tcPr>
            <w:tcW w:w="8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宋体" w:hAnsi="宋体" w:cs="宋体"/>
                <w:bCs/>
                <w:spacing w:val="-4"/>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bCs/>
                <w:spacing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222"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宋体" w:hAnsi="宋体" w:cs="宋体"/>
                <w:bCs/>
                <w:spacing w:val="-4"/>
              </w:rPr>
            </w:pPr>
            <w:r>
              <w:rPr>
                <w:rFonts w:hint="eastAsia" w:ascii="宋体" w:hAnsi="宋体" w:cs="宋体"/>
                <w:bCs/>
                <w:spacing w:val="-4"/>
              </w:rPr>
              <w:t>合同金额合计（人民币大写）：</w:t>
            </w:r>
            <w:r>
              <w:rPr>
                <w:rFonts w:hint="eastAsia" w:ascii="宋体" w:hAnsi="宋体" w:cs="宋体"/>
                <w:bCs/>
                <w:u w:val="single"/>
              </w:rPr>
              <w:t xml:space="preserve">                   </w:t>
            </w:r>
            <w:r>
              <w:rPr>
                <w:rFonts w:hint="eastAsia" w:ascii="宋体" w:hAnsi="宋体" w:cs="宋体"/>
                <w:bCs/>
                <w:spacing w:val="-4"/>
              </w:rPr>
              <w:t>元</w:t>
            </w:r>
            <w:r>
              <w:rPr>
                <w:rFonts w:hint="eastAsia" w:ascii="宋体" w:hAnsi="宋体" w:cs="宋体"/>
                <w:bCs/>
              </w:rPr>
              <w:t xml:space="preserve">      （小写）：¥</w:t>
            </w:r>
            <w:r>
              <w:rPr>
                <w:rFonts w:hint="eastAsia" w:ascii="宋体" w:hAnsi="宋体" w:cs="宋体"/>
                <w:bCs/>
                <w:u w:val="single"/>
              </w:rPr>
              <w:t xml:space="preserve">                 </w:t>
            </w:r>
          </w:p>
        </w:tc>
      </w:tr>
    </w:tbl>
    <w:p>
      <w:pPr>
        <w:spacing w:line="560" w:lineRule="exact"/>
        <w:ind w:firstLine="560" w:firstLineChars="200"/>
        <w:rPr>
          <w:rFonts w:hint="eastAsia"/>
          <w:b/>
          <w:kern w:val="2"/>
          <w:sz w:val="28"/>
          <w:szCs w:val="28"/>
        </w:rPr>
      </w:pPr>
      <w:bookmarkStart w:id="579" w:name="_Toc13010"/>
      <w:bookmarkStart w:id="580" w:name="_Toc23535"/>
      <w:bookmarkStart w:id="581" w:name="_Toc30178"/>
      <w:bookmarkStart w:id="582" w:name="_Toc30842"/>
      <w:r>
        <w:rPr>
          <w:rFonts w:hint="eastAsia"/>
          <w:bCs/>
          <w:sz w:val="28"/>
          <w:szCs w:val="28"/>
        </w:rPr>
        <w:t>乙方所供的物资应当是全新的，符合国家（军用）标准的工艺材料制造，符合投标文件的承诺，符合合同规定的规格、技术指标及外观质量要求。</w:t>
      </w:r>
    </w:p>
    <w:p>
      <w:pPr>
        <w:pStyle w:val="7"/>
        <w:numPr>
          <w:ilvl w:val="2"/>
          <w:numId w:val="0"/>
        </w:numPr>
        <w:tabs>
          <w:tab w:val="clear" w:pos="1820"/>
        </w:tabs>
        <w:spacing w:before="0" w:after="0" w:line="560" w:lineRule="exact"/>
        <w:ind w:leftChars="200"/>
        <w:rPr>
          <w:rFonts w:ascii="黑体" w:hAnsi="黑体" w:cs="黑体"/>
          <w:b w:val="0"/>
          <w:sz w:val="28"/>
          <w:szCs w:val="28"/>
        </w:rPr>
      </w:pPr>
      <w:bookmarkStart w:id="583" w:name="_Toc132190638"/>
      <w:bookmarkStart w:id="584" w:name="_Toc130887001"/>
      <w:bookmarkStart w:id="585" w:name="_Toc128397974"/>
      <w:bookmarkStart w:id="586" w:name="_Toc130887504"/>
      <w:bookmarkStart w:id="587" w:name="_Toc130657994"/>
      <w:bookmarkStart w:id="588" w:name="_Toc128150138"/>
      <w:bookmarkStart w:id="589" w:name="_Toc130657540"/>
      <w:bookmarkStart w:id="590" w:name="_Toc128150782"/>
      <w:bookmarkStart w:id="591" w:name="_Toc127820568"/>
      <w:bookmarkStart w:id="592" w:name="_Toc128151031"/>
      <w:r>
        <w:rPr>
          <w:rFonts w:hint="eastAsia" w:ascii="黑体" w:hAnsi="黑体" w:cs="黑体"/>
          <w:b w:val="0"/>
          <w:sz w:val="28"/>
          <w:szCs w:val="28"/>
        </w:rPr>
        <w:t>三、交货时间、地点</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（一）交货时间：</w:t>
      </w:r>
      <w:r>
        <w:rPr>
          <w:rFonts w:hint="eastAsia" w:ascii="宋体" w:hAnsi="宋体" w:cs="宋体"/>
          <w:bCs/>
          <w:sz w:val="28"/>
          <w:szCs w:val="28"/>
          <w:u w:val="single"/>
        </w:rPr>
        <w:t xml:space="preserve">                          </w:t>
      </w:r>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（二）交货地点：</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pStyle w:val="7"/>
        <w:numPr>
          <w:ilvl w:val="2"/>
          <w:numId w:val="0"/>
        </w:numPr>
        <w:tabs>
          <w:tab w:val="clear" w:pos="1820"/>
        </w:tabs>
        <w:spacing w:before="0" w:after="0" w:line="560" w:lineRule="exact"/>
        <w:ind w:leftChars="200"/>
        <w:rPr>
          <w:rFonts w:hint="eastAsia" w:ascii="黑体" w:hAnsi="黑体" w:cs="黑体"/>
          <w:b w:val="0"/>
        </w:rPr>
      </w:pPr>
      <w:bookmarkStart w:id="593" w:name="_Toc130657541"/>
      <w:bookmarkStart w:id="594" w:name="_Toc132190639"/>
      <w:bookmarkStart w:id="595" w:name="_Toc128150783"/>
      <w:bookmarkStart w:id="596" w:name="_Toc130887002"/>
      <w:bookmarkStart w:id="597" w:name="_Toc130657995"/>
      <w:bookmarkStart w:id="598" w:name="_Toc128397975"/>
      <w:bookmarkStart w:id="599" w:name="_Toc128151032"/>
      <w:bookmarkStart w:id="600" w:name="_Toc127820569"/>
      <w:bookmarkStart w:id="601" w:name="_Toc130887505"/>
      <w:bookmarkStart w:id="602" w:name="_Toc128150139"/>
      <w:bookmarkStart w:id="603" w:name="_Toc7820"/>
      <w:bookmarkStart w:id="604" w:name="_Toc4153"/>
      <w:bookmarkStart w:id="605" w:name="_Toc7812"/>
      <w:bookmarkStart w:id="606" w:name="_Toc16939"/>
      <w:r>
        <w:rPr>
          <w:rFonts w:hint="eastAsia" w:ascii="黑体" w:hAnsi="黑体" w:cs="黑体"/>
          <w:b w:val="0"/>
          <w:sz w:val="28"/>
          <w:szCs w:val="28"/>
        </w:rPr>
        <w:t>四、包装及技术材料</w:t>
      </w:r>
      <w:bookmarkEnd w:id="593"/>
      <w:bookmarkEnd w:id="594"/>
      <w:bookmarkEnd w:id="595"/>
      <w:bookmarkEnd w:id="596"/>
      <w:bookmarkEnd w:id="597"/>
      <w:bookmarkEnd w:id="598"/>
      <w:bookmarkEnd w:id="599"/>
      <w:bookmarkEnd w:id="600"/>
      <w:bookmarkEnd w:id="601"/>
      <w:bookmarkEnd w:id="602"/>
    </w:p>
    <w:p>
      <w:pPr>
        <w:spacing w:line="560" w:lineRule="exact"/>
        <w:ind w:firstLine="560" w:firstLineChars="200"/>
        <w:rPr>
          <w:rFonts w:hint="eastAsia" w:eastAsia="仿宋_GB2312"/>
          <w:bCs/>
          <w:sz w:val="28"/>
          <w:szCs w:val="28"/>
        </w:rPr>
      </w:pPr>
      <w:r>
        <w:rPr>
          <w:rFonts w:hint="eastAsia"/>
          <w:bCs/>
          <w:sz w:val="28"/>
          <w:szCs w:val="28"/>
        </w:rPr>
        <w:t>（一）乙方提供的物资要采用国家或行业规定的标准进行包装，每件包装箱内附一份详细装箱清单和质量检验合格证，包装物由乙方免费提供。</w:t>
      </w:r>
    </w:p>
    <w:p>
      <w:pPr>
        <w:spacing w:line="560" w:lineRule="exact"/>
        <w:ind w:firstLine="560" w:firstLineChars="200"/>
        <w:rPr>
          <w:bCs/>
          <w:sz w:val="28"/>
          <w:szCs w:val="28"/>
        </w:rPr>
      </w:pPr>
      <w:r>
        <w:rPr>
          <w:rFonts w:hint="eastAsia"/>
          <w:bCs/>
          <w:sz w:val="28"/>
          <w:szCs w:val="28"/>
        </w:rPr>
        <w:t>（二）乙方提供的物资、技术</w:t>
      </w:r>
      <w:r>
        <w:rPr>
          <w:rFonts w:hint="eastAsia" w:ascii="宋体" w:hAnsi="宋体"/>
          <w:bCs/>
          <w:sz w:val="28"/>
          <w:szCs w:val="28"/>
        </w:rPr>
        <w:t>材料</w:t>
      </w:r>
      <w:r>
        <w:rPr>
          <w:rFonts w:hint="eastAsia"/>
          <w:bCs/>
          <w:sz w:val="28"/>
          <w:szCs w:val="28"/>
        </w:rPr>
        <w:t>，应当有详细的说明，包括物资的规格、技术指标及外观质量情况等。</w:t>
      </w:r>
    </w:p>
    <w:p>
      <w:pPr>
        <w:pStyle w:val="7"/>
        <w:numPr>
          <w:ilvl w:val="2"/>
          <w:numId w:val="0"/>
        </w:numPr>
        <w:tabs>
          <w:tab w:val="clear" w:pos="1820"/>
        </w:tabs>
        <w:spacing w:before="0" w:after="0" w:line="560" w:lineRule="exact"/>
        <w:rPr>
          <w:rFonts w:ascii="黑体" w:hAnsi="黑体" w:cs="黑体"/>
          <w:b w:val="0"/>
        </w:rPr>
      </w:pPr>
      <w:bookmarkStart w:id="607" w:name="_Toc128397976"/>
      <w:bookmarkStart w:id="608" w:name="_Toc128150140"/>
      <w:bookmarkStart w:id="609" w:name="_Toc132190640"/>
      <w:bookmarkStart w:id="610" w:name="_Toc130887003"/>
      <w:bookmarkStart w:id="611" w:name="_Toc128151033"/>
      <w:bookmarkStart w:id="612" w:name="_Toc130657542"/>
      <w:bookmarkStart w:id="613" w:name="_Toc130887506"/>
      <w:bookmarkStart w:id="614" w:name="_Toc128150784"/>
      <w:bookmarkStart w:id="615" w:name="_Toc127820570"/>
      <w:bookmarkStart w:id="616" w:name="_Toc130657996"/>
      <w:r>
        <w:rPr>
          <w:rFonts w:hint="eastAsia" w:ascii="黑体" w:hAnsi="黑体" w:cs="黑体"/>
          <w:b w:val="0"/>
          <w:sz w:val="28"/>
          <w:szCs w:val="28"/>
        </w:rPr>
        <w:t>五、售后服务</w:t>
      </w:r>
      <w:bookmarkEnd w:id="607"/>
      <w:bookmarkEnd w:id="608"/>
      <w:bookmarkEnd w:id="609"/>
      <w:bookmarkEnd w:id="610"/>
      <w:bookmarkEnd w:id="611"/>
      <w:bookmarkEnd w:id="612"/>
      <w:bookmarkEnd w:id="613"/>
      <w:bookmarkEnd w:id="614"/>
      <w:bookmarkEnd w:id="615"/>
      <w:bookmarkEnd w:id="616"/>
    </w:p>
    <w:p>
      <w:pPr>
        <w:spacing w:line="560" w:lineRule="exact"/>
        <w:ind w:firstLine="560" w:firstLineChars="200"/>
        <w:rPr>
          <w:rFonts w:hint="eastAsia" w:eastAsia="仿宋_GB2312"/>
          <w:bCs/>
          <w:sz w:val="28"/>
          <w:szCs w:val="28"/>
        </w:rPr>
      </w:pPr>
      <w:r>
        <w:rPr>
          <w:rFonts w:hint="eastAsia"/>
          <w:bCs/>
          <w:sz w:val="28"/>
          <w:szCs w:val="28"/>
        </w:rPr>
        <w:t>（一）乙方负责免费运输、安装、调试、培训和服务保障等。</w:t>
      </w:r>
    </w:p>
    <w:p>
      <w:pPr>
        <w:spacing w:line="560" w:lineRule="exact"/>
        <w:ind w:firstLine="560" w:firstLineChars="200"/>
        <w:rPr>
          <w:bCs/>
          <w:sz w:val="28"/>
          <w:szCs w:val="28"/>
        </w:rPr>
      </w:pPr>
      <w:r>
        <w:rPr>
          <w:rFonts w:hint="eastAsia"/>
          <w:bCs/>
          <w:sz w:val="28"/>
          <w:szCs w:val="28"/>
        </w:rPr>
        <w:t>（二）自物资验收完毕之日起，物资免费质保期</w:t>
      </w:r>
      <w:r>
        <w:rPr>
          <w:bCs/>
          <w:sz w:val="28"/>
          <w:szCs w:val="28"/>
          <w:u w:val="single"/>
        </w:rPr>
        <w:t xml:space="preserve">   </w:t>
      </w:r>
      <w:r>
        <w:rPr>
          <w:rFonts w:hint="eastAsia"/>
          <w:bCs/>
          <w:sz w:val="28"/>
          <w:szCs w:val="28"/>
        </w:rPr>
        <w:t>年。在免费质保期内，出现产品质量问题，甲方提出后，乙方应当在</w:t>
      </w:r>
      <w:r>
        <w:rPr>
          <w:bCs/>
          <w:sz w:val="28"/>
          <w:szCs w:val="28"/>
          <w:u w:val="single"/>
        </w:rPr>
        <w:t xml:space="preserve">  </w:t>
      </w:r>
      <w:r>
        <w:rPr>
          <w:rFonts w:hint="eastAsia"/>
          <w:bCs/>
          <w:sz w:val="28"/>
          <w:szCs w:val="28"/>
        </w:rPr>
        <w:t>小时内响应，</w:t>
      </w:r>
      <w:r>
        <w:rPr>
          <w:bCs/>
          <w:sz w:val="28"/>
          <w:szCs w:val="28"/>
          <w:u w:val="single"/>
        </w:rPr>
        <w:t xml:space="preserve">  </w:t>
      </w:r>
      <w:r>
        <w:rPr>
          <w:rFonts w:hint="eastAsia"/>
          <w:bCs/>
          <w:sz w:val="28"/>
          <w:szCs w:val="28"/>
        </w:rPr>
        <w:t>小时内到达现场提供相关的维修、更换等服务。</w:t>
      </w:r>
    </w:p>
    <w:p>
      <w:pPr>
        <w:spacing w:line="560" w:lineRule="exact"/>
        <w:ind w:firstLine="560" w:firstLineChars="200"/>
        <w:rPr>
          <w:bCs/>
          <w:sz w:val="28"/>
          <w:szCs w:val="28"/>
        </w:rPr>
      </w:pPr>
      <w:r>
        <w:rPr>
          <w:rFonts w:hint="eastAsia" w:ascii="宋体" w:hAnsi="宋体"/>
          <w:bCs/>
          <w:sz w:val="28"/>
          <w:szCs w:val="28"/>
        </w:rPr>
        <w:t>※</w:t>
      </w:r>
      <w:r>
        <w:rPr>
          <w:rFonts w:hint="eastAsia"/>
          <w:bCs/>
          <w:sz w:val="28"/>
          <w:szCs w:val="28"/>
        </w:rPr>
        <w:t>（三）长期提供免费优良的技术支持及备品备件优惠供应，备件价格不超过本合同价格。在产品的全寿命周期内为用户提供相应的备品备件。</w:t>
      </w:r>
    </w:p>
    <w:p>
      <w:pPr>
        <w:spacing w:line="560" w:lineRule="exact"/>
        <w:ind w:firstLine="560" w:firstLineChars="200"/>
        <w:rPr>
          <w:bCs/>
          <w:sz w:val="28"/>
          <w:szCs w:val="28"/>
        </w:rPr>
      </w:pPr>
      <w:r>
        <w:rPr>
          <w:rFonts w:hint="eastAsia"/>
          <w:bCs/>
          <w:sz w:val="28"/>
          <w:szCs w:val="28"/>
        </w:rPr>
        <w:t>（四）乙方需提供在投标文件中承诺的所有售后服务项目。</w:t>
      </w:r>
    </w:p>
    <w:p>
      <w:pPr>
        <w:spacing w:line="560" w:lineRule="exact"/>
        <w:ind w:firstLine="560" w:firstLineChars="200"/>
        <w:rPr>
          <w:bCs/>
          <w:sz w:val="28"/>
          <w:szCs w:val="28"/>
        </w:rPr>
      </w:pPr>
      <w:r>
        <w:rPr>
          <w:rFonts w:hint="eastAsia" w:ascii="宋体" w:hAnsi="宋体"/>
          <w:bCs/>
          <w:sz w:val="28"/>
          <w:szCs w:val="28"/>
        </w:rPr>
        <w:t>※</w:t>
      </w:r>
      <w:r>
        <w:rPr>
          <w:rFonts w:hint="eastAsia"/>
          <w:bCs/>
          <w:sz w:val="28"/>
          <w:szCs w:val="28"/>
        </w:rPr>
        <w:t>（五）免费提供技术培训，包括交装培训、安装服务、试运行指导服务；乙方在现场根据客户要求提供设备安装，安装完毕后提供详细的中文技术文档，同时提供跟产培训。</w:t>
      </w:r>
    </w:p>
    <w:p>
      <w:pPr>
        <w:pStyle w:val="20"/>
        <w:spacing w:line="560" w:lineRule="exact"/>
        <w:ind w:firstLine="560" w:firstLineChars="200"/>
      </w:pPr>
      <w:r>
        <w:rPr>
          <w:rFonts w:hint="eastAsia" w:ascii="宋体" w:hAnsi="宋体"/>
          <w:bCs/>
          <w:sz w:val="28"/>
          <w:szCs w:val="28"/>
        </w:rPr>
        <w:t>※</w:t>
      </w:r>
      <w:r>
        <w:rPr>
          <w:rFonts w:hint="eastAsia"/>
          <w:bCs/>
          <w:sz w:val="28"/>
          <w:szCs w:val="28"/>
        </w:rPr>
        <w:t>（六）提供终生维护保障。在质保期内因设备自身设计、制造缺陷造成的各种故障，乙方承诺进行免费技术服务、维修或更换。在质保期后，乙方继续提供技术支持服务和系统软件升级换代，备件和服务的价格不超过本次投标价格，终身维护保障。</w:t>
      </w:r>
    </w:p>
    <w:p>
      <w:pPr>
        <w:keepNext/>
        <w:keepLines/>
        <w:spacing w:line="560" w:lineRule="exact"/>
        <w:ind w:firstLine="560" w:firstLineChars="200"/>
        <w:outlineLvl w:val="2"/>
        <w:rPr>
          <w:rFonts w:ascii="黑体" w:hAnsi="黑体" w:cs="黑体"/>
          <w:bCs/>
          <w:sz w:val="32"/>
          <w:szCs w:val="32"/>
        </w:rPr>
      </w:pPr>
      <w:bookmarkStart w:id="617" w:name="_Toc128151034"/>
      <w:bookmarkStart w:id="618" w:name="_Toc130887507"/>
      <w:bookmarkStart w:id="619" w:name="_Toc130887004"/>
      <w:bookmarkStart w:id="620" w:name="_Toc130657543"/>
      <w:bookmarkStart w:id="621" w:name="_Toc127820571"/>
      <w:bookmarkStart w:id="622" w:name="_Toc128397977"/>
      <w:bookmarkStart w:id="623" w:name="_Toc128150785"/>
      <w:bookmarkStart w:id="624" w:name="_Toc132190641"/>
      <w:bookmarkStart w:id="625" w:name="_Toc128150141"/>
      <w:bookmarkStart w:id="626" w:name="_Toc130657997"/>
      <w:r>
        <w:rPr>
          <w:rFonts w:hint="eastAsia" w:ascii="黑体" w:hAnsi="黑体" w:eastAsia="黑体" w:cs="黑体"/>
          <w:bCs/>
          <w:sz w:val="28"/>
          <w:szCs w:val="28"/>
        </w:rPr>
        <w:t>※六、履约保证金</w:t>
      </w:r>
      <w:bookmarkEnd w:id="617"/>
      <w:bookmarkEnd w:id="618"/>
      <w:bookmarkEnd w:id="619"/>
      <w:bookmarkEnd w:id="620"/>
      <w:bookmarkEnd w:id="621"/>
      <w:bookmarkEnd w:id="622"/>
      <w:bookmarkEnd w:id="623"/>
      <w:bookmarkEnd w:id="624"/>
      <w:bookmarkEnd w:id="625"/>
      <w:bookmarkEnd w:id="626"/>
    </w:p>
    <w:p>
      <w:pPr>
        <w:spacing w:line="560" w:lineRule="exact"/>
        <w:ind w:firstLine="560" w:firstLineChars="200"/>
        <w:rPr>
          <w:rFonts w:hint="eastAsia" w:eastAsia="仿宋_GB2312"/>
          <w:bCs/>
          <w:sz w:val="28"/>
          <w:szCs w:val="28"/>
        </w:rPr>
      </w:pPr>
      <w:r>
        <w:rPr>
          <w:rFonts w:hint="eastAsia"/>
          <w:bCs/>
          <w:sz w:val="28"/>
          <w:szCs w:val="28"/>
        </w:rPr>
        <w:t>本次招标收取合同金额的</w:t>
      </w:r>
      <w:r>
        <w:rPr>
          <w:bCs/>
          <w:sz w:val="28"/>
          <w:szCs w:val="28"/>
          <w:u w:val="single"/>
        </w:rPr>
        <w:t xml:space="preserve"> 5 </w:t>
      </w:r>
      <w:r>
        <w:rPr>
          <w:bCs/>
          <w:sz w:val="28"/>
          <w:szCs w:val="28"/>
        </w:rPr>
        <w:t>%</w:t>
      </w:r>
      <w:r>
        <w:rPr>
          <w:rFonts w:hint="eastAsia"/>
          <w:bCs/>
          <w:sz w:val="28"/>
          <w:szCs w:val="28"/>
        </w:rPr>
        <w:t>作为合同履约保证金，即</w:t>
      </w:r>
      <w:r>
        <w:rPr>
          <w:bCs/>
          <w:sz w:val="28"/>
          <w:szCs w:val="28"/>
          <w:u w:val="single"/>
        </w:rPr>
        <w:t xml:space="preserve">       </w:t>
      </w:r>
      <w:r>
        <w:rPr>
          <w:rFonts w:hint="eastAsia"/>
          <w:bCs/>
          <w:sz w:val="28"/>
          <w:szCs w:val="28"/>
        </w:rPr>
        <w:t>元整（小写</w:t>
      </w:r>
      <w:r>
        <w:rPr>
          <w:rFonts w:hint="eastAsia" w:ascii="宋体" w:hAnsi="宋体" w:cs="宋体"/>
          <w:bCs/>
          <w:spacing w:val="-4"/>
          <w:sz w:val="28"/>
          <w:szCs w:val="28"/>
        </w:rPr>
        <w:t>¥</w:t>
      </w:r>
      <w:r>
        <w:rPr>
          <w:bCs/>
          <w:sz w:val="28"/>
          <w:szCs w:val="28"/>
          <w:u w:val="single"/>
        </w:rPr>
        <w:t xml:space="preserve">       </w:t>
      </w:r>
      <w:r>
        <w:rPr>
          <w:rFonts w:hint="eastAsia"/>
          <w:bCs/>
          <w:sz w:val="28"/>
          <w:szCs w:val="28"/>
        </w:rPr>
        <w:t>）。乙方若未按时交付产品，或交付产品性能未能达到指定要求时，甲方有权解除合同，没收合同履约保证金。合同履约保证金在物资验收合格、全部交付后全额无息退还，甲方可以在合同最终支付结算时，一并办理履约保证金返还。</w:t>
      </w:r>
    </w:p>
    <w:p>
      <w:pPr>
        <w:keepNext/>
        <w:keepLines/>
        <w:spacing w:line="560" w:lineRule="exact"/>
        <w:ind w:firstLine="560" w:firstLineChars="200"/>
        <w:outlineLvl w:val="2"/>
        <w:rPr>
          <w:rFonts w:ascii="黑体" w:hAnsi="黑体" w:cs="黑体"/>
          <w:bCs/>
          <w:sz w:val="32"/>
          <w:szCs w:val="32"/>
        </w:rPr>
      </w:pPr>
      <w:bookmarkStart w:id="627" w:name="_Toc128150786"/>
      <w:bookmarkStart w:id="628" w:name="_Toc128397978"/>
      <w:bookmarkStart w:id="629" w:name="_Toc130887005"/>
      <w:bookmarkStart w:id="630" w:name="_Toc127820572"/>
      <w:bookmarkStart w:id="631" w:name="_Toc132190642"/>
      <w:bookmarkStart w:id="632" w:name="_Toc128150142"/>
      <w:bookmarkStart w:id="633" w:name="_Toc130657998"/>
      <w:bookmarkStart w:id="634" w:name="_Toc130657544"/>
      <w:bookmarkStart w:id="635" w:name="_Toc128151035"/>
      <w:bookmarkStart w:id="636" w:name="_Toc130887508"/>
      <w:r>
        <w:rPr>
          <w:rFonts w:hint="eastAsia" w:ascii="黑体" w:hAnsi="黑体" w:eastAsia="黑体" w:cs="黑体"/>
          <w:bCs/>
          <w:sz w:val="28"/>
          <w:szCs w:val="28"/>
        </w:rPr>
        <w:t>※七、质量保证金</w:t>
      </w:r>
      <w:bookmarkEnd w:id="627"/>
      <w:bookmarkEnd w:id="628"/>
      <w:bookmarkEnd w:id="629"/>
      <w:bookmarkEnd w:id="630"/>
      <w:bookmarkEnd w:id="631"/>
      <w:bookmarkEnd w:id="632"/>
      <w:bookmarkEnd w:id="633"/>
      <w:bookmarkEnd w:id="634"/>
      <w:bookmarkEnd w:id="635"/>
      <w:bookmarkEnd w:id="636"/>
    </w:p>
    <w:p>
      <w:pPr>
        <w:spacing w:line="560" w:lineRule="exact"/>
        <w:ind w:firstLine="560" w:firstLineChars="200"/>
        <w:rPr>
          <w:rFonts w:hint="eastAsia" w:ascii="宋体" w:hAnsi="宋体" w:cs="黑体"/>
          <w:b/>
          <w:sz w:val="28"/>
          <w:szCs w:val="28"/>
          <w:lang w:val="zh-CN"/>
        </w:rPr>
      </w:pPr>
      <w:r>
        <w:rPr>
          <w:rFonts w:hint="eastAsia" w:ascii="宋体" w:hAnsi="宋体"/>
          <w:sz w:val="28"/>
          <w:szCs w:val="28"/>
        </w:rPr>
        <w:t>物资验收合格并交付甲方后，乙方提供甲方合同金额的</w:t>
      </w:r>
      <w:r>
        <w:rPr>
          <w:rFonts w:hint="eastAsia" w:ascii="宋体" w:hAnsi="宋体"/>
          <w:sz w:val="28"/>
          <w:szCs w:val="28"/>
          <w:u w:val="single"/>
        </w:rPr>
        <w:t xml:space="preserve"> 5 </w:t>
      </w:r>
      <w:r>
        <w:rPr>
          <w:rFonts w:hint="eastAsia" w:ascii="宋体" w:hAnsi="宋体"/>
          <w:sz w:val="28"/>
          <w:szCs w:val="28"/>
        </w:rPr>
        <w:t>%作为质量保证金，即</w:t>
      </w:r>
      <w:r>
        <w:rPr>
          <w:rFonts w:hint="eastAsia" w:ascii="宋体" w:hAnsi="宋体"/>
          <w:sz w:val="28"/>
          <w:szCs w:val="28"/>
          <w:u w:val="single"/>
        </w:rPr>
        <w:t xml:space="preserve">          </w:t>
      </w:r>
      <w:r>
        <w:rPr>
          <w:rFonts w:hint="eastAsia" w:ascii="宋体" w:hAnsi="宋体"/>
          <w:sz w:val="28"/>
          <w:szCs w:val="28"/>
        </w:rPr>
        <w:t>元整（小写</w:t>
      </w:r>
      <w:r>
        <w:rPr>
          <w:rFonts w:hint="eastAsia" w:ascii="宋体" w:hAnsi="宋体" w:cs="宋体"/>
          <w:bCs/>
          <w:spacing w:val="-4"/>
          <w:sz w:val="28"/>
          <w:szCs w:val="28"/>
        </w:rPr>
        <w:t>¥</w:t>
      </w:r>
      <w:r>
        <w:rPr>
          <w:rFonts w:hint="eastAsia" w:ascii="宋体" w:hAnsi="宋体"/>
          <w:bCs/>
          <w:sz w:val="28"/>
          <w:szCs w:val="28"/>
          <w:u w:val="single"/>
        </w:rPr>
        <w:t xml:space="preserve">     </w:t>
      </w:r>
      <w:r>
        <w:rPr>
          <w:rFonts w:hint="eastAsia" w:ascii="宋体" w:hAnsi="宋体"/>
          <w:sz w:val="28"/>
          <w:szCs w:val="28"/>
        </w:rPr>
        <w:t>）。在免费质保期内，物资因乙方责任产生质量问题未予以补救，或予以补救后仍然造成损失的，甲方有权直接从质量保证金扣除相应损失。质量保证金在质保期满且无质量问题时全额无息退还。本合同约定的质保期满，甲方接到乙方质量保证金返还申请后，应当于30日内核实质量情况，办理质量保证金返还。</w:t>
      </w:r>
    </w:p>
    <w:p>
      <w:pPr>
        <w:pStyle w:val="7"/>
        <w:numPr>
          <w:ilvl w:val="2"/>
          <w:numId w:val="0"/>
        </w:numPr>
        <w:tabs>
          <w:tab w:val="clear" w:pos="1820"/>
        </w:tabs>
        <w:spacing w:before="0" w:after="0" w:line="560" w:lineRule="exact"/>
        <w:ind w:leftChars="200"/>
        <w:rPr>
          <w:rFonts w:hint="eastAsia" w:ascii="黑体" w:hAnsi="黑体" w:cs="黑体"/>
          <w:b w:val="0"/>
          <w:sz w:val="28"/>
          <w:szCs w:val="28"/>
        </w:rPr>
      </w:pPr>
      <w:bookmarkStart w:id="637" w:name="_Toc128150787"/>
      <w:bookmarkStart w:id="638" w:name="_Toc130657545"/>
      <w:bookmarkStart w:id="639" w:name="_Toc128397979"/>
      <w:bookmarkStart w:id="640" w:name="_Toc132190643"/>
      <w:bookmarkStart w:id="641" w:name="_Toc128151036"/>
      <w:bookmarkStart w:id="642" w:name="_Toc130887006"/>
      <w:bookmarkStart w:id="643" w:name="_Toc130657999"/>
      <w:bookmarkStart w:id="644" w:name="_Toc127820573"/>
      <w:bookmarkStart w:id="645" w:name="_Toc130887509"/>
      <w:bookmarkStart w:id="646" w:name="_Toc128150143"/>
      <w:r>
        <w:rPr>
          <w:rFonts w:hint="eastAsia" w:ascii="黑体" w:hAnsi="黑体" w:cs="黑体"/>
          <w:b w:val="0"/>
          <w:sz w:val="28"/>
          <w:szCs w:val="28"/>
        </w:rPr>
        <w:t>八、质量保证期</w:t>
      </w:r>
      <w:bookmarkEnd w:id="603"/>
      <w:bookmarkEnd w:id="604"/>
      <w:bookmarkEnd w:id="605"/>
      <w:bookmarkEnd w:id="606"/>
      <w:bookmarkEnd w:id="637"/>
      <w:bookmarkEnd w:id="638"/>
      <w:bookmarkEnd w:id="639"/>
      <w:bookmarkEnd w:id="640"/>
      <w:bookmarkEnd w:id="641"/>
      <w:bookmarkEnd w:id="642"/>
      <w:bookmarkEnd w:id="643"/>
      <w:bookmarkEnd w:id="644"/>
      <w:bookmarkEnd w:id="645"/>
      <w:bookmarkEnd w:id="646"/>
    </w:p>
    <w:p>
      <w:pPr>
        <w:spacing w:line="560" w:lineRule="exact"/>
        <w:ind w:firstLine="560" w:firstLineChars="200"/>
        <w:rPr>
          <w:rFonts w:hint="eastAsia" w:ascii="宋体" w:hAnsi="宋体" w:cs="宋体"/>
          <w:bCs/>
          <w:sz w:val="28"/>
          <w:szCs w:val="28"/>
        </w:rPr>
      </w:pPr>
      <w:r>
        <w:rPr>
          <w:rFonts w:hint="eastAsia" w:ascii="宋体" w:hAnsi="宋体" w:cs="宋体"/>
          <w:bCs/>
          <w:sz w:val="28"/>
          <w:szCs w:val="28"/>
        </w:rPr>
        <w:t>自物资验收完毕之日起，物资免费质保期</w:t>
      </w:r>
      <w:r>
        <w:rPr>
          <w:rFonts w:hint="eastAsia" w:ascii="宋体" w:hAnsi="宋体" w:cs="宋体"/>
          <w:bCs/>
          <w:sz w:val="28"/>
          <w:szCs w:val="28"/>
          <w:u w:val="single"/>
        </w:rPr>
        <w:t xml:space="preserve">   </w:t>
      </w:r>
      <w:r>
        <w:rPr>
          <w:rFonts w:hint="eastAsia" w:ascii="宋体" w:hAnsi="宋体" w:cs="宋体"/>
          <w:bCs/>
          <w:sz w:val="28"/>
          <w:szCs w:val="28"/>
        </w:rPr>
        <w:t>年。在免费质保期内，出现产品质量问题，甲方提出后，乙方应当在</w:t>
      </w:r>
      <w:r>
        <w:rPr>
          <w:rFonts w:hint="eastAsia" w:ascii="宋体" w:hAnsi="宋体" w:cs="宋体"/>
          <w:bCs/>
          <w:sz w:val="28"/>
          <w:szCs w:val="28"/>
          <w:u w:val="single"/>
        </w:rPr>
        <w:t xml:space="preserve">  </w:t>
      </w:r>
      <w:r>
        <w:rPr>
          <w:rFonts w:hint="eastAsia" w:ascii="宋体" w:hAnsi="宋体" w:cs="宋体"/>
          <w:bCs/>
          <w:sz w:val="28"/>
          <w:szCs w:val="28"/>
        </w:rPr>
        <w:t>小时内响应，</w:t>
      </w:r>
      <w:r>
        <w:rPr>
          <w:rFonts w:hint="eastAsia" w:ascii="宋体" w:hAnsi="宋体" w:cs="宋体"/>
          <w:bCs/>
          <w:sz w:val="28"/>
          <w:szCs w:val="28"/>
          <w:u w:val="single"/>
        </w:rPr>
        <w:t xml:space="preserve">  </w:t>
      </w:r>
      <w:r>
        <w:rPr>
          <w:rFonts w:hint="eastAsia" w:ascii="宋体" w:hAnsi="宋体" w:cs="宋体"/>
          <w:bCs/>
          <w:sz w:val="28"/>
          <w:szCs w:val="28"/>
        </w:rPr>
        <w:t>小时内到达现场提供相关的维修、更换等服务。</w:t>
      </w:r>
    </w:p>
    <w:p>
      <w:pPr>
        <w:pStyle w:val="7"/>
        <w:numPr>
          <w:ilvl w:val="2"/>
          <w:numId w:val="0"/>
        </w:numPr>
        <w:tabs>
          <w:tab w:val="clear" w:pos="1820"/>
        </w:tabs>
        <w:spacing w:before="0" w:after="0" w:line="560" w:lineRule="exact"/>
        <w:ind w:leftChars="200"/>
        <w:rPr>
          <w:rFonts w:hint="eastAsia" w:ascii="黑体" w:hAnsi="黑体" w:cs="黑体"/>
          <w:b w:val="0"/>
          <w:sz w:val="28"/>
          <w:szCs w:val="28"/>
          <w:lang w:val="zh-CN"/>
        </w:rPr>
      </w:pPr>
      <w:bookmarkStart w:id="647" w:name="_Toc128397980"/>
      <w:bookmarkStart w:id="648" w:name="_Toc130657546"/>
      <w:bookmarkStart w:id="649" w:name="_Toc127820574"/>
      <w:bookmarkStart w:id="650" w:name="_Toc130887007"/>
      <w:bookmarkStart w:id="651" w:name="_Toc130658000"/>
      <w:bookmarkStart w:id="652" w:name="_Toc128150144"/>
      <w:bookmarkStart w:id="653" w:name="_Toc128151037"/>
      <w:bookmarkStart w:id="654" w:name="_Toc130887510"/>
      <w:bookmarkStart w:id="655" w:name="_Toc128150788"/>
      <w:bookmarkStart w:id="656" w:name="_Toc132190644"/>
      <w:r>
        <w:rPr>
          <w:rFonts w:hint="eastAsia" w:ascii="黑体" w:hAnsi="黑体" w:cs="黑体"/>
          <w:b w:val="0"/>
          <w:sz w:val="28"/>
          <w:szCs w:val="28"/>
          <w:lang w:val="zh-CN"/>
        </w:rPr>
        <w:t>九、资金结算</w:t>
      </w:r>
      <w:bookmarkEnd w:id="647"/>
      <w:bookmarkEnd w:id="648"/>
      <w:bookmarkEnd w:id="649"/>
      <w:bookmarkEnd w:id="650"/>
      <w:bookmarkEnd w:id="651"/>
      <w:bookmarkEnd w:id="652"/>
      <w:bookmarkEnd w:id="653"/>
      <w:bookmarkEnd w:id="654"/>
      <w:bookmarkEnd w:id="655"/>
      <w:bookmarkEnd w:id="656"/>
    </w:p>
    <w:p>
      <w:pPr>
        <w:spacing w:line="560" w:lineRule="exact"/>
        <w:ind w:firstLine="560" w:firstLineChars="200"/>
        <w:rPr>
          <w:rFonts w:hint="eastAsia"/>
          <w:sz w:val="21"/>
        </w:rPr>
      </w:pPr>
      <w:r>
        <w:rPr>
          <w:rFonts w:hint="eastAsia" w:ascii="宋体" w:hAnsi="宋体"/>
          <w:bCs/>
          <w:sz w:val="28"/>
          <w:szCs w:val="28"/>
          <w:lang w:val="zh-CN"/>
        </w:rPr>
        <w:t>本项目不预付货款，货物运达指定地点并安装调试、验收合格后，乙方收集发运接收单、发票、验收报告等资料提交甲方办理结算手续，甲方在</w:t>
      </w:r>
      <w:r>
        <w:rPr>
          <w:rFonts w:hint="eastAsia" w:ascii="宋体" w:hAnsi="宋体"/>
          <w:bCs/>
          <w:sz w:val="28"/>
          <w:szCs w:val="28"/>
          <w:u w:val="single"/>
        </w:rPr>
        <w:t xml:space="preserve">   </w:t>
      </w:r>
      <w:r>
        <w:rPr>
          <w:rFonts w:hint="eastAsia" w:ascii="宋体" w:hAnsi="宋体"/>
          <w:bCs/>
          <w:sz w:val="28"/>
          <w:szCs w:val="28"/>
          <w:lang w:val="zh-CN"/>
        </w:rPr>
        <w:t>日内向乙方支付合同金额的95%，暂留合同金额的5%作为质量保证金（按四舍五入取整至拾位，履约保证金未转为质量保证金时预留)。甲方每次付款前乙方需提供发票，否则甲方可拒绝付款。在结算过程中出具虚假发票和不真实文件资料的供应商，将被列入黑名单，终生不得参与军队采购活动，并在军队采购网上予以公示。</w:t>
      </w:r>
    </w:p>
    <w:p>
      <w:pPr>
        <w:pStyle w:val="7"/>
        <w:numPr>
          <w:ilvl w:val="2"/>
          <w:numId w:val="0"/>
        </w:numPr>
        <w:tabs>
          <w:tab w:val="clear" w:pos="1820"/>
        </w:tabs>
        <w:spacing w:before="0" w:after="156" w:afterLines="50" w:line="560" w:lineRule="exact"/>
        <w:rPr>
          <w:rFonts w:ascii="黑体" w:hAnsi="黑体" w:cs="黑体"/>
          <w:b w:val="0"/>
          <w:sz w:val="28"/>
          <w:szCs w:val="28"/>
        </w:rPr>
      </w:pPr>
      <w:bookmarkStart w:id="657" w:name="_Toc130658001"/>
      <w:bookmarkStart w:id="658" w:name="_Toc130887008"/>
      <w:bookmarkStart w:id="659" w:name="_Toc132190645"/>
      <w:bookmarkStart w:id="660" w:name="_Toc130887511"/>
      <w:bookmarkStart w:id="661" w:name="_Toc128150145"/>
      <w:bookmarkStart w:id="662" w:name="_Toc128151038"/>
      <w:bookmarkStart w:id="663" w:name="_Toc128397981"/>
      <w:bookmarkStart w:id="664" w:name="_Toc127820575"/>
      <w:bookmarkStart w:id="665" w:name="_Toc130657547"/>
      <w:bookmarkStart w:id="666" w:name="_Toc128150789"/>
      <w:r>
        <w:rPr>
          <w:rFonts w:hint="eastAsia" w:ascii="黑体" w:hAnsi="黑体" w:cs="黑体"/>
          <w:b w:val="0"/>
          <w:sz w:val="28"/>
          <w:szCs w:val="28"/>
          <w:lang w:val="zh-CN"/>
        </w:rPr>
        <w:t>十、合同生效</w:t>
      </w:r>
      <w:bookmarkEnd w:id="657"/>
      <w:bookmarkEnd w:id="658"/>
      <w:bookmarkEnd w:id="659"/>
      <w:bookmarkEnd w:id="660"/>
      <w:bookmarkEnd w:id="661"/>
      <w:bookmarkEnd w:id="662"/>
      <w:bookmarkEnd w:id="663"/>
      <w:bookmarkEnd w:id="664"/>
      <w:bookmarkEnd w:id="665"/>
      <w:bookmarkEnd w:id="666"/>
    </w:p>
    <w:p>
      <w:pPr>
        <w:spacing w:line="360" w:lineRule="auto"/>
        <w:ind w:firstLine="560" w:firstLineChars="200"/>
        <w:rPr>
          <w:rFonts w:hint="eastAsia" w:ascii="仿宋_GB2312" w:hAnsi="宋体" w:eastAsia="仿宋_GB2312"/>
          <w:bCs/>
          <w:sz w:val="28"/>
          <w:szCs w:val="28"/>
        </w:rPr>
      </w:pPr>
      <w:r>
        <w:rPr>
          <w:rFonts w:hint="eastAsia" w:ascii="仿宋_GB2312" w:hAnsi="宋体"/>
          <w:bCs/>
          <w:sz w:val="28"/>
          <w:szCs w:val="28"/>
        </w:rPr>
        <w:t>（一）本合同按照军队采购有关规定编号后，经甲方、乙方共同签署，并加盖单位印章后生效。未经甲方允许，乙方不得部分或全部转让其应当履行的合同义务。</w:t>
      </w:r>
    </w:p>
    <w:p>
      <w:pPr>
        <w:adjustRightInd w:val="0"/>
        <w:snapToGrid w:val="0"/>
        <w:spacing w:line="360" w:lineRule="auto"/>
        <w:ind w:firstLine="560" w:firstLineChars="200"/>
        <w:rPr>
          <w:rFonts w:hint="eastAsia" w:ascii="仿宋_GB2312" w:hAnsi="宋体"/>
          <w:bCs/>
          <w:sz w:val="28"/>
          <w:szCs w:val="28"/>
        </w:rPr>
      </w:pPr>
      <w:r>
        <w:rPr>
          <w:rFonts w:hint="eastAsia" w:ascii="仿宋_GB2312" w:hAnsi="宋体"/>
          <w:bCs/>
          <w:sz w:val="28"/>
          <w:szCs w:val="28"/>
        </w:rPr>
        <w:t>（二）本合同一式</w:t>
      </w:r>
      <w:r>
        <w:rPr>
          <w:rFonts w:hint="eastAsia" w:ascii="仿宋_GB2312" w:hAnsi="宋体"/>
          <w:bCs/>
          <w:sz w:val="28"/>
          <w:szCs w:val="28"/>
          <w:u w:val="single"/>
        </w:rPr>
        <w:t xml:space="preserve">   </w:t>
      </w:r>
      <w:r>
        <w:rPr>
          <w:rFonts w:hint="eastAsia" w:ascii="仿宋_GB2312" w:hAnsi="宋体"/>
          <w:bCs/>
          <w:sz w:val="28"/>
          <w:szCs w:val="28"/>
        </w:rPr>
        <w:t>份，由甲乙双方各执一份，甲方财务结算部门一份，</w:t>
      </w:r>
      <w:r>
        <w:rPr>
          <w:rFonts w:hint="eastAsia" w:ascii="仿宋_GB2312" w:hAnsi="宋体"/>
          <w:bCs/>
          <w:sz w:val="28"/>
          <w:szCs w:val="28"/>
          <w:u w:val="single"/>
        </w:rPr>
        <w:t xml:space="preserve">                                           </w:t>
      </w:r>
      <w:r>
        <w:rPr>
          <w:rFonts w:hint="eastAsia" w:ascii="仿宋_GB2312" w:hAnsi="宋体"/>
          <w:bCs/>
          <w:sz w:val="28"/>
          <w:szCs w:val="28"/>
        </w:rPr>
        <w:t>。</w:t>
      </w:r>
    </w:p>
    <w:p>
      <w:pPr>
        <w:pStyle w:val="7"/>
        <w:numPr>
          <w:ilvl w:val="2"/>
          <w:numId w:val="0"/>
        </w:numPr>
        <w:tabs>
          <w:tab w:val="clear" w:pos="1820"/>
        </w:tabs>
        <w:spacing w:before="0" w:after="0" w:line="560" w:lineRule="exact"/>
        <w:rPr>
          <w:rFonts w:hint="eastAsia" w:ascii="黑体" w:hAnsi="黑体" w:cs="黑体"/>
          <w:b w:val="0"/>
          <w:sz w:val="28"/>
          <w:szCs w:val="28"/>
          <w:lang w:val="zh-CN"/>
        </w:rPr>
      </w:pPr>
      <w:bookmarkStart w:id="667" w:name="_Toc130657548"/>
      <w:bookmarkStart w:id="668" w:name="_Toc128150790"/>
      <w:bookmarkStart w:id="669" w:name="_Toc130887512"/>
      <w:bookmarkStart w:id="670" w:name="_Toc130658002"/>
      <w:bookmarkStart w:id="671" w:name="_Toc128151039"/>
      <w:bookmarkStart w:id="672" w:name="_Toc128397982"/>
      <w:bookmarkStart w:id="673" w:name="_Toc132190646"/>
      <w:bookmarkStart w:id="674" w:name="_Toc128150146"/>
      <w:bookmarkStart w:id="675" w:name="_Toc130887009"/>
      <w:bookmarkStart w:id="676" w:name="_Toc127820576"/>
      <w:r>
        <w:rPr>
          <w:rFonts w:hint="eastAsia" w:ascii="黑体" w:hAnsi="黑体" w:cs="黑体"/>
          <w:b w:val="0"/>
          <w:sz w:val="28"/>
          <w:szCs w:val="28"/>
          <w:lang w:val="zh-CN"/>
        </w:rPr>
        <w:t>十一、其他事项</w:t>
      </w:r>
      <w:bookmarkEnd w:id="667"/>
      <w:bookmarkEnd w:id="668"/>
      <w:bookmarkEnd w:id="669"/>
      <w:bookmarkEnd w:id="670"/>
      <w:bookmarkEnd w:id="671"/>
      <w:bookmarkEnd w:id="672"/>
      <w:bookmarkEnd w:id="673"/>
      <w:bookmarkEnd w:id="674"/>
      <w:bookmarkEnd w:id="675"/>
      <w:bookmarkEnd w:id="676"/>
    </w:p>
    <w:p>
      <w:pPr>
        <w:ind w:firstLine="560" w:firstLineChars="200"/>
        <w:rPr>
          <w:rFonts w:hint="eastAsia" w:ascii="仿宋_GB2312" w:hAnsi="宋体"/>
          <w:bCs/>
          <w:sz w:val="28"/>
          <w:szCs w:val="28"/>
        </w:rPr>
      </w:pPr>
      <w:r>
        <w:rPr>
          <w:rFonts w:hint="eastAsia" w:ascii="仿宋_GB2312" w:hAnsi="宋体"/>
          <w:bCs/>
          <w:sz w:val="28"/>
          <w:szCs w:val="28"/>
          <w:u w:val="single"/>
        </w:rPr>
        <w:t xml:space="preserve">                                          </w:t>
      </w:r>
      <w:r>
        <w:rPr>
          <w:rFonts w:hint="eastAsia" w:ascii="仿宋_GB2312" w:hAnsi="宋体"/>
          <w:bCs/>
          <w:sz w:val="28"/>
          <w:szCs w:val="28"/>
        </w:rPr>
        <w:t>。</w:t>
      </w:r>
    </w:p>
    <w:p>
      <w:pPr>
        <w:pStyle w:val="24"/>
        <w:adjustRightInd w:val="0"/>
        <w:snapToGrid w:val="0"/>
        <w:spacing w:line="540" w:lineRule="exact"/>
        <w:ind w:firstLine="560" w:firstLineChars="200"/>
        <w:jc w:val="left"/>
        <w:rPr>
          <w:rFonts w:hint="eastAsia" w:ascii="仿宋_GB2312"/>
          <w:bCs/>
          <w:sz w:val="28"/>
          <w:szCs w:val="28"/>
        </w:rPr>
      </w:pPr>
    </w:p>
    <w:p>
      <w:pPr>
        <w:pStyle w:val="24"/>
        <w:adjustRightInd w:val="0"/>
        <w:snapToGrid w:val="0"/>
        <w:spacing w:line="540" w:lineRule="exact"/>
        <w:ind w:firstLine="560" w:firstLineChars="200"/>
        <w:jc w:val="left"/>
        <w:rPr>
          <w:rFonts w:hint="eastAsia" w:hAnsi="宋体"/>
          <w:bCs/>
          <w:sz w:val="28"/>
          <w:szCs w:val="28"/>
        </w:rPr>
      </w:pPr>
      <w:r>
        <w:rPr>
          <w:rFonts w:hint="eastAsia" w:hAnsi="宋体"/>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pPr>
        <w:pStyle w:val="20"/>
        <w:rPr>
          <w:rFonts w:hint="eastAsia"/>
        </w:rPr>
      </w:pPr>
    </w:p>
    <w:p>
      <w:pPr>
        <w:adjustRightInd w:val="0"/>
        <w:snapToGrid w:val="0"/>
        <w:spacing w:line="560" w:lineRule="exact"/>
        <w:rPr>
          <w:rFonts w:ascii="宋体" w:hAnsi="宋体" w:cs="宋体"/>
          <w:bCs/>
          <w:sz w:val="28"/>
          <w:szCs w:val="28"/>
        </w:rPr>
      </w:pPr>
      <w:r>
        <w:rPr>
          <w:rFonts w:hint="eastAsia" w:ascii="宋体" w:hAnsi="宋体" w:cs="宋体"/>
          <w:bCs/>
          <w:sz w:val="28"/>
          <w:szCs w:val="28"/>
        </w:rPr>
        <w:t>甲      方：（公章）                 乙      方：（公章）</w:t>
      </w:r>
    </w:p>
    <w:p>
      <w:pPr>
        <w:adjustRightInd w:val="0"/>
        <w:snapToGrid w:val="0"/>
        <w:spacing w:line="560" w:lineRule="exact"/>
        <w:rPr>
          <w:rFonts w:hint="eastAsia" w:ascii="宋体" w:hAnsi="宋体" w:cs="宋体"/>
          <w:bCs/>
          <w:sz w:val="28"/>
          <w:szCs w:val="28"/>
        </w:rPr>
      </w:pPr>
      <w:r>
        <w:rPr>
          <w:rFonts w:hint="eastAsia" w:ascii="宋体" w:hAnsi="宋体" w:cs="宋体"/>
          <w:bCs/>
          <w:sz w:val="28"/>
          <w:szCs w:val="28"/>
        </w:rPr>
        <w:t>法定代表人：</w:t>
      </w:r>
      <w:r>
        <w:rPr>
          <w:rFonts w:hint="eastAsia" w:ascii="宋体" w:hAnsi="宋体" w:cs="宋体"/>
          <w:bCs/>
          <w:sz w:val="28"/>
          <w:szCs w:val="28"/>
          <w:u w:val="single"/>
        </w:rPr>
        <w:t xml:space="preserve">                  </w:t>
      </w:r>
      <w:r>
        <w:rPr>
          <w:rFonts w:hint="eastAsia" w:ascii="宋体" w:hAnsi="宋体" w:cs="宋体"/>
          <w:bCs/>
          <w:sz w:val="28"/>
          <w:szCs w:val="28"/>
        </w:rPr>
        <w:t xml:space="preserve">       法定代表人：</w:t>
      </w:r>
      <w:r>
        <w:rPr>
          <w:rFonts w:hint="eastAsia" w:ascii="宋体" w:hAnsi="宋体" w:cs="宋体"/>
          <w:bCs/>
          <w:sz w:val="28"/>
          <w:szCs w:val="28"/>
          <w:u w:val="single"/>
        </w:rPr>
        <w:t xml:space="preserve">              </w:t>
      </w:r>
    </w:p>
    <w:p>
      <w:pPr>
        <w:adjustRightInd w:val="0"/>
        <w:snapToGrid w:val="0"/>
        <w:spacing w:line="560" w:lineRule="exact"/>
        <w:rPr>
          <w:rFonts w:hint="eastAsia" w:ascii="宋体" w:hAnsi="宋体" w:cs="宋体"/>
          <w:bCs/>
          <w:sz w:val="28"/>
          <w:szCs w:val="28"/>
        </w:rPr>
      </w:pPr>
      <w:r>
        <w:rPr>
          <w:rFonts w:hint="eastAsia" w:ascii="宋体" w:hAnsi="宋体" w:cs="宋体"/>
          <w:bCs/>
          <w:sz w:val="28"/>
          <w:szCs w:val="28"/>
        </w:rPr>
        <w:t>委托代理人：</w:t>
      </w:r>
      <w:r>
        <w:rPr>
          <w:rFonts w:hint="eastAsia" w:ascii="宋体" w:hAnsi="宋体" w:cs="宋体"/>
          <w:bCs/>
          <w:sz w:val="28"/>
          <w:szCs w:val="28"/>
          <w:u w:val="single"/>
        </w:rPr>
        <w:t xml:space="preserve">                  </w:t>
      </w:r>
      <w:r>
        <w:rPr>
          <w:rFonts w:hint="eastAsia" w:ascii="宋体" w:hAnsi="宋体" w:cs="宋体"/>
          <w:bCs/>
          <w:sz w:val="28"/>
          <w:szCs w:val="28"/>
        </w:rPr>
        <w:t xml:space="preserve">       委托代理人：</w:t>
      </w:r>
      <w:r>
        <w:rPr>
          <w:rFonts w:hint="eastAsia" w:ascii="宋体" w:hAnsi="宋体" w:cs="宋体"/>
          <w:bCs/>
          <w:sz w:val="28"/>
          <w:szCs w:val="28"/>
          <w:u w:val="single"/>
        </w:rPr>
        <w:t xml:space="preserve">              </w:t>
      </w:r>
    </w:p>
    <w:p>
      <w:pPr>
        <w:adjustRightInd w:val="0"/>
        <w:snapToGrid w:val="0"/>
        <w:spacing w:line="560" w:lineRule="exact"/>
        <w:rPr>
          <w:rFonts w:hint="eastAsia" w:ascii="宋体" w:hAnsi="宋体" w:cs="宋体"/>
          <w:bCs/>
          <w:sz w:val="28"/>
          <w:szCs w:val="28"/>
        </w:rPr>
      </w:pPr>
      <w:r>
        <w:rPr>
          <w:rFonts w:hint="eastAsia" w:ascii="宋体" w:hAnsi="宋体" w:cs="宋体"/>
          <w:bCs/>
          <w:sz w:val="28"/>
          <w:szCs w:val="28"/>
        </w:rPr>
        <w:t>电      话：</w:t>
      </w:r>
      <w:r>
        <w:rPr>
          <w:rFonts w:hint="eastAsia" w:ascii="宋体" w:hAnsi="宋体" w:cs="宋体"/>
          <w:bCs/>
          <w:sz w:val="28"/>
          <w:szCs w:val="28"/>
          <w:u w:val="single"/>
        </w:rPr>
        <w:t xml:space="preserve">                  </w:t>
      </w:r>
      <w:r>
        <w:rPr>
          <w:rFonts w:hint="eastAsia" w:ascii="宋体" w:hAnsi="宋体" w:cs="宋体"/>
          <w:bCs/>
          <w:sz w:val="28"/>
          <w:szCs w:val="28"/>
        </w:rPr>
        <w:t xml:space="preserve">       电      话：</w:t>
      </w:r>
      <w:r>
        <w:rPr>
          <w:rFonts w:hint="eastAsia" w:ascii="宋体" w:hAnsi="宋体" w:cs="宋体"/>
          <w:bCs/>
          <w:sz w:val="28"/>
          <w:szCs w:val="28"/>
          <w:u w:val="single"/>
        </w:rPr>
        <w:t xml:space="preserve">              </w:t>
      </w:r>
    </w:p>
    <w:p>
      <w:pPr>
        <w:adjustRightInd w:val="0"/>
        <w:snapToGrid w:val="0"/>
        <w:spacing w:line="560" w:lineRule="exact"/>
        <w:rPr>
          <w:rFonts w:hint="eastAsia"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传      真：</w:t>
      </w:r>
      <w:r>
        <w:rPr>
          <w:rFonts w:hint="eastAsia" w:ascii="宋体" w:hAnsi="宋体" w:cs="宋体"/>
          <w:bCs/>
          <w:sz w:val="28"/>
          <w:szCs w:val="28"/>
          <w:u w:val="single"/>
        </w:rPr>
        <w:t xml:space="preserve">              </w:t>
      </w:r>
    </w:p>
    <w:p>
      <w:pPr>
        <w:adjustRightInd w:val="0"/>
        <w:snapToGrid w:val="0"/>
        <w:spacing w:line="560" w:lineRule="exact"/>
        <w:rPr>
          <w:rFonts w:hint="eastAsia" w:ascii="宋体" w:hAnsi="宋体" w:cs="宋体"/>
          <w:bCs/>
          <w:sz w:val="28"/>
          <w:szCs w:val="28"/>
        </w:rPr>
      </w:pPr>
      <w:r>
        <w:rPr>
          <w:rFonts w:hint="eastAsia" w:ascii="宋体" w:hAnsi="宋体" w:cs="宋体"/>
          <w:bCs/>
          <w:sz w:val="28"/>
          <w:szCs w:val="28"/>
        </w:rPr>
        <w:t>账户名称：</w:t>
      </w:r>
      <w:r>
        <w:rPr>
          <w:rFonts w:hint="eastAsia" w:ascii="宋体" w:hAnsi="宋体" w:cs="宋体"/>
          <w:bCs/>
          <w:sz w:val="28"/>
          <w:szCs w:val="28"/>
          <w:u w:val="single"/>
        </w:rPr>
        <w:t xml:space="preserve">                    </w:t>
      </w:r>
      <w:r>
        <w:rPr>
          <w:rFonts w:hint="eastAsia" w:ascii="宋体" w:hAnsi="宋体" w:cs="宋体"/>
          <w:bCs/>
          <w:sz w:val="28"/>
          <w:szCs w:val="28"/>
        </w:rPr>
        <w:t xml:space="preserve">       账户名称：</w:t>
      </w:r>
      <w:r>
        <w:rPr>
          <w:rFonts w:hint="eastAsia" w:ascii="宋体" w:hAnsi="宋体" w:cs="宋体"/>
          <w:bCs/>
          <w:sz w:val="28"/>
          <w:szCs w:val="28"/>
          <w:u w:val="single"/>
        </w:rPr>
        <w:t xml:space="preserve">                </w:t>
      </w:r>
    </w:p>
    <w:p>
      <w:pPr>
        <w:adjustRightInd w:val="0"/>
        <w:snapToGrid w:val="0"/>
        <w:spacing w:line="560" w:lineRule="exact"/>
        <w:rPr>
          <w:rFonts w:hint="eastAsia" w:ascii="宋体" w:hAnsi="宋体" w:cs="宋体"/>
          <w:bCs/>
          <w:sz w:val="28"/>
          <w:szCs w:val="28"/>
        </w:rPr>
      </w:pPr>
      <w:r>
        <w:rPr>
          <w:rFonts w:hint="eastAsia" w:ascii="宋体" w:hAnsi="宋体" w:cs="宋体"/>
          <w:bCs/>
          <w:sz w:val="28"/>
          <w:szCs w:val="28"/>
        </w:rPr>
        <w:t>开户银行：</w:t>
      </w:r>
      <w:r>
        <w:rPr>
          <w:rFonts w:hint="eastAsia" w:ascii="宋体" w:hAnsi="宋体" w:cs="宋体"/>
          <w:bCs/>
          <w:sz w:val="28"/>
          <w:szCs w:val="28"/>
          <w:u w:val="single"/>
        </w:rPr>
        <w:t xml:space="preserve">                    </w:t>
      </w:r>
      <w:r>
        <w:rPr>
          <w:rFonts w:hint="eastAsia" w:ascii="宋体" w:hAnsi="宋体" w:cs="宋体"/>
          <w:bCs/>
          <w:sz w:val="28"/>
          <w:szCs w:val="28"/>
        </w:rPr>
        <w:t xml:space="preserve">       开户银行：</w:t>
      </w:r>
      <w:r>
        <w:rPr>
          <w:rFonts w:hint="eastAsia" w:ascii="宋体" w:hAnsi="宋体" w:cs="宋体"/>
          <w:bCs/>
          <w:sz w:val="28"/>
          <w:szCs w:val="28"/>
          <w:u w:val="single"/>
        </w:rPr>
        <w:t xml:space="preserve">                </w:t>
      </w:r>
    </w:p>
    <w:p>
      <w:pPr>
        <w:adjustRightInd w:val="0"/>
        <w:snapToGrid w:val="0"/>
        <w:spacing w:line="560" w:lineRule="exact"/>
        <w:rPr>
          <w:rFonts w:hint="eastAsia" w:ascii="宋体" w:hAnsi="宋体"/>
          <w:sz w:val="21"/>
          <w:szCs w:val="21"/>
        </w:rPr>
      </w:pPr>
      <w:r>
        <w:rPr>
          <w:rFonts w:hint="eastAsia" w:ascii="宋体" w:hAnsi="宋体" w:cs="宋体"/>
          <w:bCs/>
          <w:sz w:val="28"/>
          <w:szCs w:val="28"/>
        </w:rPr>
        <w:t>账  号：</w:t>
      </w:r>
      <w:r>
        <w:rPr>
          <w:rFonts w:hint="eastAsia" w:ascii="宋体" w:hAnsi="宋体" w:cs="宋体"/>
          <w:bCs/>
          <w:sz w:val="28"/>
          <w:szCs w:val="28"/>
          <w:u w:val="single"/>
        </w:rPr>
        <w:t xml:space="preserve">                      </w:t>
      </w:r>
      <w:r>
        <w:rPr>
          <w:rFonts w:hint="eastAsia" w:ascii="宋体" w:hAnsi="宋体" w:cs="宋体"/>
          <w:bCs/>
          <w:sz w:val="28"/>
          <w:szCs w:val="28"/>
        </w:rPr>
        <w:t xml:space="preserve">       账  号：</w:t>
      </w:r>
      <w:r>
        <w:rPr>
          <w:rFonts w:hint="eastAsia" w:ascii="宋体" w:hAnsi="宋体" w:cs="宋体"/>
          <w:bCs/>
          <w:sz w:val="28"/>
          <w:szCs w:val="28"/>
          <w:u w:val="single"/>
        </w:rPr>
        <w:t xml:space="preserve">                  </w:t>
      </w:r>
      <w:bookmarkEnd w:id="0"/>
      <w:bookmarkEnd w:id="43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radley Hand ITC">
    <w:panose1 w:val="03070402050302030203"/>
    <w:charset w:val="00"/>
    <w:family w:val="script"/>
    <w:pitch w:val="default"/>
    <w:sig w:usb0="00000003" w:usb1="00000000" w:usb2="00000000" w:usb3="00000000" w:csb0="20000001" w:csb1="00000000"/>
  </w:font>
  <w:font w:name="Microsoft Uighur">
    <w:panose1 w:val="02000000000000000000"/>
    <w:charset w:val="00"/>
    <w:family w:val="auto"/>
    <w:pitch w:val="default"/>
    <w:sig w:usb0="80002023" w:usb1="80000002"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Page \* MERGEFORMAT </w:instrText>
    </w:r>
    <w:r>
      <w:fldChar w:fldCharType="separate"/>
    </w:r>
    <w:r>
      <w:t>100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93F54"/>
    <w:multiLevelType w:val="multilevel"/>
    <w:tmpl w:val="55893F54"/>
    <w:lvl w:ilvl="0" w:tentative="0">
      <w:start w:val="1"/>
      <w:numFmt w:val="chineseCountingThousand"/>
      <w:lvlText w:val="%1、"/>
      <w:lvlJc w:val="left"/>
      <w:pPr>
        <w:tabs>
          <w:tab w:val="left" w:pos="987"/>
        </w:tabs>
        <w:ind w:left="987" w:hanging="420"/>
      </w:pPr>
    </w:lvl>
    <w:lvl w:ilvl="1" w:tentative="0">
      <w:start w:val="1"/>
      <w:numFmt w:val="lowerLetter"/>
      <w:lvlText w:val="%2)"/>
      <w:lvlJc w:val="left"/>
      <w:pPr>
        <w:tabs>
          <w:tab w:val="left" w:pos="1400"/>
        </w:tabs>
        <w:ind w:left="1400" w:hanging="420"/>
      </w:pPr>
    </w:lvl>
    <w:lvl w:ilvl="2" w:tentative="0">
      <w:start w:val="1"/>
      <w:numFmt w:val="lowerRoman"/>
      <w:pStyle w:val="7"/>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pStyle w:val="10"/>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7F2511F9"/>
    <w:multiLevelType w:val="multilevel"/>
    <w:tmpl w:val="7F2511F9"/>
    <w:lvl w:ilvl="0" w:tentative="0">
      <w:start w:val="1"/>
      <w:numFmt w:val="japaneseCounting"/>
      <w:lvlText w:val="（%1）"/>
      <w:lvlJc w:val="left"/>
      <w:pPr>
        <w:ind w:left="1415" w:hanging="855"/>
      </w:pPr>
      <w:rPr>
        <w:lang w:val="en-U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pStyle w:val="11"/>
      <w:lvlText w:val="%6."/>
      <w:lvlJc w:val="right"/>
      <w:pPr>
        <w:ind w:left="3080" w:hanging="420"/>
      </w:pPr>
    </w:lvl>
    <w:lvl w:ilvl="6" w:tentative="0">
      <w:start w:val="1"/>
      <w:numFmt w:val="decimal"/>
      <w:pStyle w:val="12"/>
      <w:lvlText w:val="%7."/>
      <w:lvlJc w:val="left"/>
      <w:pPr>
        <w:ind w:left="3500" w:hanging="420"/>
      </w:pPr>
    </w:lvl>
    <w:lvl w:ilvl="7" w:tentative="0">
      <w:start w:val="1"/>
      <w:numFmt w:val="lowerLetter"/>
      <w:pStyle w:val="13"/>
      <w:lvlText w:val="%8)"/>
      <w:lvlJc w:val="left"/>
      <w:pPr>
        <w:ind w:left="3920" w:hanging="420"/>
      </w:pPr>
    </w:lvl>
    <w:lvl w:ilvl="8" w:tentative="0">
      <w:start w:val="1"/>
      <w:numFmt w:val="lowerRoman"/>
      <w:pStyle w:val="14"/>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YWU1YTBiYTBhZjY5ZjE3ZDUxOTQ3OGQyMjg1YzEifQ=="/>
  </w:docVars>
  <w:rsids>
    <w:rsidRoot w:val="002F6FF6"/>
    <w:rsid w:val="0011760F"/>
    <w:rsid w:val="00167CB7"/>
    <w:rsid w:val="002F6FF6"/>
    <w:rsid w:val="0053630D"/>
    <w:rsid w:val="006325B6"/>
    <w:rsid w:val="0069282D"/>
    <w:rsid w:val="00DD0587"/>
    <w:rsid w:val="00DF60AE"/>
    <w:rsid w:val="03C804E3"/>
    <w:rsid w:val="040E133A"/>
    <w:rsid w:val="04B36635"/>
    <w:rsid w:val="05CE7CA6"/>
    <w:rsid w:val="07911761"/>
    <w:rsid w:val="081E438F"/>
    <w:rsid w:val="0B75299C"/>
    <w:rsid w:val="0CB67574"/>
    <w:rsid w:val="0F296723"/>
    <w:rsid w:val="10420953"/>
    <w:rsid w:val="104E1933"/>
    <w:rsid w:val="125E66E4"/>
    <w:rsid w:val="12800839"/>
    <w:rsid w:val="12FE6C66"/>
    <w:rsid w:val="14860B7E"/>
    <w:rsid w:val="14CE66E4"/>
    <w:rsid w:val="17E05695"/>
    <w:rsid w:val="193602BC"/>
    <w:rsid w:val="19445F08"/>
    <w:rsid w:val="1A8B191C"/>
    <w:rsid w:val="1CA97AC2"/>
    <w:rsid w:val="1D1F1166"/>
    <w:rsid w:val="1E0070C6"/>
    <w:rsid w:val="1EF209FA"/>
    <w:rsid w:val="1F637C7B"/>
    <w:rsid w:val="1FA47882"/>
    <w:rsid w:val="20B34CFA"/>
    <w:rsid w:val="21912B83"/>
    <w:rsid w:val="223B68E5"/>
    <w:rsid w:val="22561876"/>
    <w:rsid w:val="2399489B"/>
    <w:rsid w:val="27536321"/>
    <w:rsid w:val="27F50561"/>
    <w:rsid w:val="2AFB28ED"/>
    <w:rsid w:val="2C387B4E"/>
    <w:rsid w:val="303F6F96"/>
    <w:rsid w:val="33F6278C"/>
    <w:rsid w:val="34F96288"/>
    <w:rsid w:val="369F6F05"/>
    <w:rsid w:val="3D4A148F"/>
    <w:rsid w:val="3EFA0174"/>
    <w:rsid w:val="41540B2E"/>
    <w:rsid w:val="44676E58"/>
    <w:rsid w:val="46067539"/>
    <w:rsid w:val="468B4FF2"/>
    <w:rsid w:val="46B77D1A"/>
    <w:rsid w:val="4706641B"/>
    <w:rsid w:val="47FF6C15"/>
    <w:rsid w:val="48F44806"/>
    <w:rsid w:val="4973403C"/>
    <w:rsid w:val="52CA278D"/>
    <w:rsid w:val="54EA0C83"/>
    <w:rsid w:val="56B57969"/>
    <w:rsid w:val="577843CF"/>
    <w:rsid w:val="59ED3476"/>
    <w:rsid w:val="5B9F2424"/>
    <w:rsid w:val="5BDE576D"/>
    <w:rsid w:val="611B59B0"/>
    <w:rsid w:val="63837AD4"/>
    <w:rsid w:val="66170A4F"/>
    <w:rsid w:val="66FE74A5"/>
    <w:rsid w:val="67074DDC"/>
    <w:rsid w:val="68FD4657"/>
    <w:rsid w:val="693E5A9D"/>
    <w:rsid w:val="694E38F3"/>
    <w:rsid w:val="69FE150B"/>
    <w:rsid w:val="6A714A52"/>
    <w:rsid w:val="6B034CB2"/>
    <w:rsid w:val="6B0F389D"/>
    <w:rsid w:val="6E4D3F5A"/>
    <w:rsid w:val="6E934CEC"/>
    <w:rsid w:val="72005FE5"/>
    <w:rsid w:val="72DA57F6"/>
    <w:rsid w:val="731C7430"/>
    <w:rsid w:val="74746816"/>
    <w:rsid w:val="74D13C69"/>
    <w:rsid w:val="766052A4"/>
    <w:rsid w:val="770050F0"/>
    <w:rsid w:val="78931961"/>
    <w:rsid w:val="791505C8"/>
    <w:rsid w:val="7AB61937"/>
    <w:rsid w:val="7AD22014"/>
    <w:rsid w:val="7CFE5990"/>
    <w:rsid w:val="7DF11AC3"/>
    <w:rsid w:val="7EC1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name="Salutation"/>
    <w:lsdException w:qFormat="1" w:uiPriority="99" w:name="Date"/>
    <w:lsdException w:qFormat="1" w:uiPriority="0" w:name="Body Text First Indent"/>
    <w:lsdException w:qFormat="1" w:uiPriority="99"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5">
    <w:name w:val="heading 1"/>
    <w:basedOn w:val="1"/>
    <w:next w:val="1"/>
    <w:link w:val="163"/>
    <w:qFormat/>
    <w:uiPriority w:val="0"/>
    <w:pPr>
      <w:keepNext/>
      <w:keepLines/>
      <w:spacing w:before="340" w:after="330" w:line="576" w:lineRule="auto"/>
      <w:outlineLvl w:val="0"/>
    </w:pPr>
    <w:rPr>
      <w:b/>
      <w:bCs/>
      <w:kern w:val="44"/>
      <w:sz w:val="44"/>
      <w:szCs w:val="44"/>
    </w:rPr>
  </w:style>
  <w:style w:type="paragraph" w:styleId="6">
    <w:name w:val="heading 2"/>
    <w:basedOn w:val="1"/>
    <w:next w:val="1"/>
    <w:link w:val="164"/>
    <w:semiHidden/>
    <w:unhideWhenUsed/>
    <w:qFormat/>
    <w:uiPriority w:val="0"/>
    <w:pPr>
      <w:keepNext/>
      <w:keepLines/>
      <w:widowControl/>
      <w:spacing w:before="260" w:after="260" w:line="415" w:lineRule="auto"/>
      <w:jc w:val="left"/>
      <w:outlineLvl w:val="1"/>
    </w:pPr>
    <w:rPr>
      <w:rFonts w:ascii="Arial" w:hAnsi="Arial" w:eastAsia="黑体"/>
      <w:b/>
      <w:sz w:val="32"/>
      <w:szCs w:val="20"/>
    </w:rPr>
  </w:style>
  <w:style w:type="paragraph" w:styleId="7">
    <w:name w:val="heading 3"/>
    <w:basedOn w:val="1"/>
    <w:next w:val="1"/>
    <w:link w:val="56"/>
    <w:semiHidden/>
    <w:unhideWhenUsed/>
    <w:qFormat/>
    <w:uiPriority w:val="0"/>
    <w:pPr>
      <w:keepNext/>
      <w:keepLines/>
      <w:widowControl/>
      <w:numPr>
        <w:ilvl w:val="2"/>
        <w:numId w:val="1"/>
      </w:numPr>
      <w:tabs>
        <w:tab w:val="left" w:pos="325"/>
        <w:tab w:val="left" w:pos="360"/>
      </w:tabs>
      <w:spacing w:before="260" w:after="260" w:line="415" w:lineRule="auto"/>
      <w:ind w:left="0" w:firstLine="0"/>
      <w:jc w:val="left"/>
      <w:outlineLvl w:val="2"/>
    </w:pPr>
    <w:rPr>
      <w:rFonts w:ascii="宋体" w:hAnsi="宋体" w:cs="宋体"/>
      <w:b/>
      <w:bCs/>
      <w:sz w:val="32"/>
      <w:szCs w:val="32"/>
    </w:rPr>
  </w:style>
  <w:style w:type="paragraph" w:styleId="8">
    <w:name w:val="heading 4"/>
    <w:basedOn w:val="1"/>
    <w:next w:val="9"/>
    <w:link w:val="165"/>
    <w:semiHidden/>
    <w:unhideWhenUsed/>
    <w:qFormat/>
    <w:uiPriority w:val="0"/>
    <w:pPr>
      <w:keepNext/>
      <w:keepLines/>
      <w:spacing w:before="280" w:after="290" w:line="374" w:lineRule="auto"/>
      <w:outlineLvl w:val="3"/>
    </w:pPr>
    <w:rPr>
      <w:rFonts w:ascii="Arial" w:hAnsi="Arial" w:eastAsia="黑体"/>
      <w:b/>
      <w:bCs/>
      <w:kern w:val="2"/>
      <w:sz w:val="28"/>
      <w:szCs w:val="28"/>
    </w:rPr>
  </w:style>
  <w:style w:type="paragraph" w:styleId="10">
    <w:name w:val="heading 5"/>
    <w:basedOn w:val="1"/>
    <w:next w:val="1"/>
    <w:link w:val="58"/>
    <w:semiHidden/>
    <w:unhideWhenUsed/>
    <w:qFormat/>
    <w:uiPriority w:val="0"/>
    <w:pPr>
      <w:keepNext/>
      <w:keepLines/>
      <w:widowControl/>
      <w:numPr>
        <w:ilvl w:val="4"/>
        <w:numId w:val="1"/>
      </w:numPr>
      <w:tabs>
        <w:tab w:val="left" w:pos="360"/>
        <w:tab w:val="left" w:pos="1165"/>
      </w:tabs>
      <w:spacing w:before="280" w:after="290" w:line="374" w:lineRule="auto"/>
      <w:ind w:left="0" w:firstLine="0"/>
      <w:jc w:val="left"/>
      <w:outlineLvl w:val="4"/>
    </w:pPr>
    <w:rPr>
      <w:rFonts w:ascii="宋体" w:hAnsi="宋体" w:cs="宋体"/>
      <w:b/>
      <w:bCs/>
      <w:sz w:val="28"/>
      <w:szCs w:val="28"/>
    </w:rPr>
  </w:style>
  <w:style w:type="paragraph" w:styleId="11">
    <w:name w:val="heading 6"/>
    <w:basedOn w:val="1"/>
    <w:next w:val="1"/>
    <w:link w:val="59"/>
    <w:semiHidden/>
    <w:unhideWhenUsed/>
    <w:qFormat/>
    <w:uiPriority w:val="0"/>
    <w:pPr>
      <w:keepNext/>
      <w:keepLines/>
      <w:numPr>
        <w:ilvl w:val="5"/>
        <w:numId w:val="2"/>
      </w:numPr>
      <w:tabs>
        <w:tab w:val="left" w:pos="360"/>
        <w:tab w:val="left" w:pos="3080"/>
      </w:tabs>
      <w:adjustRightInd w:val="0"/>
      <w:spacing w:before="240" w:after="64" w:line="320" w:lineRule="atLeast"/>
      <w:ind w:left="0" w:firstLine="0"/>
      <w:outlineLvl w:val="5"/>
    </w:pPr>
    <w:rPr>
      <w:rFonts w:ascii="Arial" w:hAnsi="Arial" w:eastAsia="黑体"/>
      <w:b/>
      <w:szCs w:val="20"/>
    </w:rPr>
  </w:style>
  <w:style w:type="paragraph" w:styleId="12">
    <w:name w:val="heading 7"/>
    <w:basedOn w:val="1"/>
    <w:next w:val="1"/>
    <w:link w:val="60"/>
    <w:semiHidden/>
    <w:unhideWhenUsed/>
    <w:qFormat/>
    <w:uiPriority w:val="99"/>
    <w:pPr>
      <w:keepNext/>
      <w:keepLines/>
      <w:numPr>
        <w:ilvl w:val="6"/>
        <w:numId w:val="2"/>
      </w:numPr>
      <w:tabs>
        <w:tab w:val="left" w:pos="360"/>
        <w:tab w:val="left" w:pos="3500"/>
      </w:tabs>
      <w:adjustRightInd w:val="0"/>
      <w:spacing w:before="240" w:after="64" w:line="320" w:lineRule="atLeast"/>
      <w:ind w:left="0" w:firstLine="0"/>
      <w:outlineLvl w:val="6"/>
    </w:pPr>
    <w:rPr>
      <w:b/>
      <w:szCs w:val="20"/>
    </w:rPr>
  </w:style>
  <w:style w:type="paragraph" w:styleId="13">
    <w:name w:val="heading 8"/>
    <w:basedOn w:val="1"/>
    <w:next w:val="1"/>
    <w:link w:val="61"/>
    <w:semiHidden/>
    <w:unhideWhenUsed/>
    <w:qFormat/>
    <w:uiPriority w:val="99"/>
    <w:pPr>
      <w:keepNext/>
      <w:keepLines/>
      <w:numPr>
        <w:ilvl w:val="7"/>
        <w:numId w:val="2"/>
      </w:numPr>
      <w:tabs>
        <w:tab w:val="left" w:pos="360"/>
        <w:tab w:val="left" w:pos="3920"/>
      </w:tabs>
      <w:adjustRightInd w:val="0"/>
      <w:spacing w:before="240" w:after="64" w:line="320" w:lineRule="atLeast"/>
      <w:ind w:left="0" w:firstLine="0"/>
      <w:outlineLvl w:val="7"/>
    </w:pPr>
    <w:rPr>
      <w:rFonts w:ascii="Arial" w:hAnsi="Arial" w:eastAsia="黑体"/>
      <w:szCs w:val="20"/>
    </w:rPr>
  </w:style>
  <w:style w:type="paragraph" w:styleId="14">
    <w:name w:val="heading 9"/>
    <w:basedOn w:val="1"/>
    <w:next w:val="1"/>
    <w:link w:val="62"/>
    <w:semiHidden/>
    <w:unhideWhenUsed/>
    <w:qFormat/>
    <w:uiPriority w:val="99"/>
    <w:pPr>
      <w:keepNext/>
      <w:keepLines/>
      <w:numPr>
        <w:ilvl w:val="8"/>
        <w:numId w:val="2"/>
      </w:numPr>
      <w:tabs>
        <w:tab w:val="left" w:pos="360"/>
        <w:tab w:val="left" w:pos="4340"/>
      </w:tabs>
      <w:adjustRightInd w:val="0"/>
      <w:spacing w:before="240" w:after="64" w:line="320" w:lineRule="atLeast"/>
      <w:ind w:left="0" w:firstLine="0"/>
      <w:outlineLvl w:val="8"/>
    </w:pPr>
    <w:rPr>
      <w:rFonts w:ascii="Arial" w:hAnsi="Arial" w:eastAsia="黑体"/>
      <w:sz w:val="21"/>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420" w:firstLine="420" w:firstLineChars="200"/>
    </w:pPr>
  </w:style>
  <w:style w:type="paragraph" w:styleId="3">
    <w:name w:val="Body Text Indent"/>
    <w:basedOn w:val="1"/>
    <w:next w:val="4"/>
    <w:link w:val="168"/>
    <w:semiHidden/>
    <w:unhideWhenUsed/>
    <w:qFormat/>
    <w:uiPriority w:val="99"/>
    <w:pPr>
      <w:ind w:firstLine="555"/>
    </w:pPr>
  </w:style>
  <w:style w:type="paragraph" w:styleId="4">
    <w:name w:val="envelope return"/>
    <w:basedOn w:val="1"/>
    <w:qFormat/>
    <w:uiPriority w:val="0"/>
    <w:pPr>
      <w:snapToGrid w:val="0"/>
    </w:pPr>
    <w:rPr>
      <w:rFonts w:ascii="Arial" w:hAnsi="Arial"/>
    </w:rPr>
  </w:style>
  <w:style w:type="paragraph" w:styleId="9">
    <w:name w:val="Normal Indent"/>
    <w:basedOn w:val="1"/>
    <w:semiHidden/>
    <w:unhideWhenUsed/>
    <w:qFormat/>
    <w:uiPriority w:val="99"/>
    <w:pPr>
      <w:ind w:firstLine="420" w:firstLineChars="200"/>
    </w:pPr>
  </w:style>
  <w:style w:type="paragraph" w:styleId="15">
    <w:name w:val="toc 7"/>
    <w:basedOn w:val="1"/>
    <w:next w:val="1"/>
    <w:semiHidden/>
    <w:unhideWhenUsed/>
    <w:qFormat/>
    <w:uiPriority w:val="39"/>
    <w:pPr>
      <w:widowControl/>
      <w:ind w:left="2520" w:leftChars="1200"/>
      <w:jc w:val="left"/>
    </w:pPr>
    <w:rPr>
      <w:rFonts w:ascii="Cambria" w:hAnsi="Cambria" w:eastAsia="Cambria" w:cs="Courier New"/>
      <w:kern w:val="2"/>
      <w:sz w:val="21"/>
      <w:szCs w:val="22"/>
    </w:rPr>
  </w:style>
  <w:style w:type="paragraph" w:styleId="16">
    <w:name w:val="caption"/>
    <w:basedOn w:val="1"/>
    <w:next w:val="1"/>
    <w:semiHidden/>
    <w:unhideWhenUsed/>
    <w:qFormat/>
    <w:uiPriority w:val="0"/>
    <w:pPr>
      <w:ind w:firstLine="6290" w:firstLineChars="2282"/>
    </w:pPr>
    <w:rPr>
      <w:b/>
      <w:bCs/>
      <w:color w:val="000080"/>
      <w:kern w:val="2"/>
      <w:sz w:val="28"/>
    </w:rPr>
  </w:style>
  <w:style w:type="paragraph" w:styleId="17">
    <w:name w:val="Document Map"/>
    <w:basedOn w:val="1"/>
    <w:link w:val="166"/>
    <w:semiHidden/>
    <w:unhideWhenUsed/>
    <w:qFormat/>
    <w:uiPriority w:val="99"/>
    <w:pPr>
      <w:shd w:val="clear" w:color="auto" w:fill="000080"/>
    </w:pPr>
  </w:style>
  <w:style w:type="paragraph" w:styleId="18">
    <w:name w:val="annotation text"/>
    <w:basedOn w:val="1"/>
    <w:link w:val="64"/>
    <w:semiHidden/>
    <w:unhideWhenUsed/>
    <w:qFormat/>
    <w:uiPriority w:val="99"/>
    <w:pPr>
      <w:jc w:val="left"/>
    </w:pPr>
  </w:style>
  <w:style w:type="paragraph" w:styleId="19">
    <w:name w:val="Salutation"/>
    <w:basedOn w:val="1"/>
    <w:next w:val="1"/>
    <w:link w:val="252"/>
    <w:semiHidden/>
    <w:unhideWhenUsed/>
    <w:qFormat/>
    <w:uiPriority w:val="99"/>
    <w:rPr>
      <w:rFonts w:ascii="仿宋_GB2312" w:eastAsia="仿宋_GB2312"/>
      <w:kern w:val="2"/>
    </w:rPr>
  </w:style>
  <w:style w:type="paragraph" w:styleId="20">
    <w:name w:val="Body Text"/>
    <w:basedOn w:val="1"/>
    <w:next w:val="1"/>
    <w:link w:val="167"/>
    <w:semiHidden/>
    <w:unhideWhenUsed/>
    <w:qFormat/>
    <w:uiPriority w:val="99"/>
    <w:rPr>
      <w:sz w:val="21"/>
    </w:rPr>
  </w:style>
  <w:style w:type="paragraph" w:styleId="21">
    <w:name w:val="Block Text"/>
    <w:basedOn w:val="1"/>
    <w:semiHidden/>
    <w:unhideWhenUsed/>
    <w:qFormat/>
    <w:uiPriority w:val="99"/>
    <w:pPr>
      <w:ind w:left="1171" w:right="91" w:hanging="1080"/>
    </w:pPr>
    <w:rPr>
      <w:rFonts w:eastAsia="楷体_GB2312"/>
      <w:kern w:val="2"/>
      <w:sz w:val="21"/>
      <w:szCs w:val="20"/>
    </w:rPr>
  </w:style>
  <w:style w:type="paragraph" w:styleId="22">
    <w:name w:val="toc 5"/>
    <w:basedOn w:val="1"/>
    <w:next w:val="1"/>
    <w:semiHidden/>
    <w:unhideWhenUsed/>
    <w:qFormat/>
    <w:uiPriority w:val="39"/>
    <w:pPr>
      <w:widowControl/>
      <w:ind w:left="1680" w:leftChars="800"/>
      <w:jc w:val="left"/>
    </w:pPr>
    <w:rPr>
      <w:rFonts w:ascii="Cambria" w:hAnsi="Cambria" w:eastAsia="Cambria" w:cs="Courier New"/>
      <w:kern w:val="2"/>
      <w:sz w:val="21"/>
      <w:szCs w:val="22"/>
    </w:rPr>
  </w:style>
  <w:style w:type="paragraph" w:styleId="23">
    <w:name w:val="toc 3"/>
    <w:basedOn w:val="1"/>
    <w:next w:val="1"/>
    <w:semiHidden/>
    <w:unhideWhenUsed/>
    <w:qFormat/>
    <w:uiPriority w:val="39"/>
    <w:pPr>
      <w:widowControl/>
      <w:ind w:left="840" w:leftChars="400"/>
      <w:jc w:val="left"/>
    </w:pPr>
    <w:rPr>
      <w:rFonts w:ascii="宋体" w:hAnsi="宋体" w:cs="宋体"/>
    </w:rPr>
  </w:style>
  <w:style w:type="paragraph" w:styleId="24">
    <w:name w:val="Plain Text"/>
    <w:basedOn w:val="1"/>
    <w:link w:val="169"/>
    <w:semiHidden/>
    <w:unhideWhenUsed/>
    <w:qFormat/>
    <w:uiPriority w:val="99"/>
    <w:rPr>
      <w:rFonts w:ascii="宋体" w:hAnsi="Courier New" w:cs="Courier New"/>
      <w:kern w:val="2"/>
      <w:szCs w:val="21"/>
    </w:rPr>
  </w:style>
  <w:style w:type="paragraph" w:styleId="25">
    <w:name w:val="toc 8"/>
    <w:basedOn w:val="1"/>
    <w:next w:val="1"/>
    <w:semiHidden/>
    <w:unhideWhenUsed/>
    <w:qFormat/>
    <w:uiPriority w:val="39"/>
    <w:pPr>
      <w:widowControl/>
      <w:ind w:left="2940" w:leftChars="1400"/>
      <w:jc w:val="left"/>
    </w:pPr>
    <w:rPr>
      <w:rFonts w:ascii="Cambria" w:hAnsi="Cambria" w:eastAsia="Cambria" w:cs="Courier New"/>
      <w:kern w:val="2"/>
      <w:sz w:val="21"/>
      <w:szCs w:val="22"/>
    </w:rPr>
  </w:style>
  <w:style w:type="paragraph" w:styleId="26">
    <w:name w:val="Date"/>
    <w:basedOn w:val="1"/>
    <w:next w:val="1"/>
    <w:link w:val="69"/>
    <w:semiHidden/>
    <w:unhideWhenUsed/>
    <w:qFormat/>
    <w:uiPriority w:val="99"/>
    <w:pPr>
      <w:widowControl/>
      <w:ind w:left="100" w:leftChars="2500"/>
      <w:jc w:val="left"/>
    </w:pPr>
  </w:style>
  <w:style w:type="paragraph" w:styleId="27">
    <w:name w:val="Body Text Indent 2"/>
    <w:basedOn w:val="1"/>
    <w:link w:val="170"/>
    <w:semiHidden/>
    <w:unhideWhenUsed/>
    <w:qFormat/>
    <w:uiPriority w:val="99"/>
    <w:pPr>
      <w:spacing w:line="540" w:lineRule="exact"/>
      <w:ind w:firstLine="630"/>
    </w:pPr>
  </w:style>
  <w:style w:type="paragraph" w:styleId="28">
    <w:name w:val="Balloon Text"/>
    <w:basedOn w:val="1"/>
    <w:link w:val="171"/>
    <w:semiHidden/>
    <w:unhideWhenUsed/>
    <w:qFormat/>
    <w:uiPriority w:val="99"/>
    <w:rPr>
      <w:sz w:val="18"/>
      <w:szCs w:val="18"/>
    </w:rPr>
  </w:style>
  <w:style w:type="paragraph" w:styleId="29">
    <w:name w:val="footer"/>
    <w:basedOn w:val="1"/>
    <w:link w:val="53"/>
    <w:unhideWhenUsed/>
    <w:qFormat/>
    <w:uiPriority w:val="99"/>
    <w:pPr>
      <w:tabs>
        <w:tab w:val="center" w:pos="4153"/>
        <w:tab w:val="right" w:pos="8306"/>
      </w:tabs>
      <w:snapToGrid w:val="0"/>
      <w:jc w:val="left"/>
    </w:pPr>
    <w:rPr>
      <w:sz w:val="18"/>
      <w:szCs w:val="18"/>
    </w:rPr>
  </w:style>
  <w:style w:type="paragraph" w:styleId="30">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unhideWhenUsed/>
    <w:qFormat/>
    <w:uiPriority w:val="39"/>
    <w:pPr>
      <w:tabs>
        <w:tab w:val="right" w:leader="dot" w:pos="8658"/>
      </w:tabs>
      <w:spacing w:line="360" w:lineRule="auto"/>
      <w:ind w:left="935" w:leftChars="400"/>
    </w:pPr>
    <w:rPr>
      <w:sz w:val="32"/>
      <w:szCs w:val="32"/>
    </w:rPr>
  </w:style>
  <w:style w:type="paragraph" w:styleId="32">
    <w:name w:val="toc 4"/>
    <w:basedOn w:val="1"/>
    <w:next w:val="1"/>
    <w:semiHidden/>
    <w:unhideWhenUsed/>
    <w:qFormat/>
    <w:uiPriority w:val="39"/>
    <w:pPr>
      <w:widowControl/>
      <w:ind w:left="1260" w:leftChars="600"/>
      <w:jc w:val="left"/>
    </w:pPr>
    <w:rPr>
      <w:rFonts w:ascii="Cambria" w:hAnsi="Cambria" w:eastAsia="Cambria" w:cs="Courier New"/>
      <w:kern w:val="2"/>
      <w:sz w:val="21"/>
      <w:szCs w:val="22"/>
    </w:rPr>
  </w:style>
  <w:style w:type="paragraph" w:styleId="33">
    <w:name w:val="Subtitle"/>
    <w:basedOn w:val="1"/>
    <w:next w:val="1"/>
    <w:link w:val="68"/>
    <w:qFormat/>
    <w:uiPriority w:val="99"/>
    <w:pPr>
      <w:widowControl/>
      <w:spacing w:before="240" w:after="60" w:line="312" w:lineRule="auto"/>
      <w:jc w:val="center"/>
      <w:outlineLvl w:val="1"/>
    </w:pPr>
    <w:rPr>
      <w:rFonts w:ascii="Cambria" w:hAnsi="Cambria" w:cs="Courier New"/>
      <w:b/>
      <w:bCs/>
      <w:kern w:val="28"/>
      <w:sz w:val="32"/>
      <w:szCs w:val="32"/>
    </w:rPr>
  </w:style>
  <w:style w:type="paragraph" w:styleId="34">
    <w:name w:val="toc 6"/>
    <w:basedOn w:val="1"/>
    <w:next w:val="1"/>
    <w:semiHidden/>
    <w:unhideWhenUsed/>
    <w:qFormat/>
    <w:uiPriority w:val="39"/>
    <w:pPr>
      <w:widowControl/>
      <w:ind w:left="2100" w:leftChars="1000"/>
      <w:jc w:val="left"/>
    </w:pPr>
    <w:rPr>
      <w:rFonts w:ascii="Cambria" w:hAnsi="Cambria" w:eastAsia="Cambria" w:cs="Courier New"/>
      <w:kern w:val="2"/>
      <w:sz w:val="21"/>
      <w:szCs w:val="22"/>
    </w:rPr>
  </w:style>
  <w:style w:type="paragraph" w:styleId="35">
    <w:name w:val="Body Text Indent 3"/>
    <w:basedOn w:val="1"/>
    <w:link w:val="73"/>
    <w:semiHidden/>
    <w:unhideWhenUsed/>
    <w:qFormat/>
    <w:uiPriority w:val="99"/>
    <w:pPr>
      <w:spacing w:after="120"/>
      <w:ind w:left="420" w:leftChars="200"/>
    </w:pPr>
    <w:rPr>
      <w:sz w:val="16"/>
      <w:szCs w:val="16"/>
    </w:rPr>
  </w:style>
  <w:style w:type="paragraph" w:styleId="36">
    <w:name w:val="toc 2"/>
    <w:basedOn w:val="1"/>
    <w:next w:val="1"/>
    <w:semiHidden/>
    <w:unhideWhenUsed/>
    <w:qFormat/>
    <w:uiPriority w:val="39"/>
    <w:pPr>
      <w:ind w:left="420" w:leftChars="200"/>
    </w:pPr>
  </w:style>
  <w:style w:type="paragraph" w:styleId="37">
    <w:name w:val="toc 9"/>
    <w:basedOn w:val="1"/>
    <w:next w:val="1"/>
    <w:semiHidden/>
    <w:unhideWhenUsed/>
    <w:qFormat/>
    <w:uiPriority w:val="39"/>
    <w:pPr>
      <w:widowControl/>
      <w:ind w:left="3360" w:leftChars="1600"/>
      <w:jc w:val="left"/>
    </w:pPr>
    <w:rPr>
      <w:rFonts w:ascii="Cambria" w:hAnsi="Cambria" w:eastAsia="Cambria" w:cs="Courier New"/>
      <w:kern w:val="2"/>
      <w:sz w:val="21"/>
      <w:szCs w:val="22"/>
    </w:rPr>
  </w:style>
  <w:style w:type="paragraph" w:styleId="38">
    <w:name w:val="Body Text 2"/>
    <w:basedOn w:val="1"/>
    <w:link w:val="174"/>
    <w:semiHidden/>
    <w:unhideWhenUsed/>
    <w:qFormat/>
    <w:uiPriority w:val="99"/>
    <w:pPr>
      <w:jc w:val="center"/>
    </w:pPr>
    <w:rPr>
      <w:sz w:val="21"/>
    </w:rPr>
  </w:style>
  <w:style w:type="paragraph" w:styleId="39">
    <w:name w:val="HTML Preformatted"/>
    <w:basedOn w:val="1"/>
    <w:link w:val="251"/>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paragraph" w:styleId="40">
    <w:name w:val="Normal (Web)"/>
    <w:basedOn w:val="1"/>
    <w:semiHidden/>
    <w:unhideWhenUsed/>
    <w:qFormat/>
    <w:uiPriority w:val="99"/>
    <w:pPr>
      <w:widowControl/>
      <w:spacing w:before="100" w:beforeAutospacing="1" w:after="100" w:afterAutospacing="1"/>
      <w:jc w:val="left"/>
    </w:pPr>
    <w:rPr>
      <w:rFonts w:ascii="宋体" w:hAnsi="宋体" w:cs="宋体"/>
    </w:rPr>
  </w:style>
  <w:style w:type="paragraph" w:styleId="41">
    <w:name w:val="index 1"/>
    <w:basedOn w:val="1"/>
    <w:next w:val="1"/>
    <w:semiHidden/>
    <w:unhideWhenUsed/>
    <w:qFormat/>
    <w:uiPriority w:val="99"/>
  </w:style>
  <w:style w:type="paragraph" w:styleId="42">
    <w:name w:val="Title"/>
    <w:basedOn w:val="1"/>
    <w:next w:val="1"/>
    <w:link w:val="65"/>
    <w:qFormat/>
    <w:uiPriority w:val="99"/>
    <w:pPr>
      <w:widowControl/>
      <w:spacing w:before="240" w:after="60"/>
      <w:jc w:val="center"/>
      <w:outlineLvl w:val="0"/>
    </w:pPr>
    <w:rPr>
      <w:rFonts w:ascii="@仿宋_GB2312" w:hAnsi="@仿宋_GB2312"/>
      <w:b/>
      <w:bCs/>
      <w:sz w:val="32"/>
      <w:szCs w:val="32"/>
    </w:rPr>
  </w:style>
  <w:style w:type="paragraph" w:styleId="43">
    <w:name w:val="annotation subject"/>
    <w:basedOn w:val="18"/>
    <w:next w:val="18"/>
    <w:link w:val="76"/>
    <w:semiHidden/>
    <w:unhideWhenUsed/>
    <w:qFormat/>
    <w:uiPriority w:val="99"/>
    <w:rPr>
      <w:b/>
      <w:bCs/>
    </w:rPr>
  </w:style>
  <w:style w:type="paragraph" w:styleId="44">
    <w:name w:val="Body Text First Indent"/>
    <w:basedOn w:val="20"/>
    <w:link w:val="70"/>
    <w:semiHidden/>
    <w:unhideWhenUsed/>
    <w:qFormat/>
    <w:uiPriority w:val="0"/>
    <w:pPr>
      <w:spacing w:after="120"/>
      <w:ind w:firstLine="420" w:firstLineChars="100"/>
    </w:pPr>
    <w:rPr>
      <w:sz w:val="24"/>
    </w:rPr>
  </w:style>
  <w:style w:type="table" w:styleId="46">
    <w:name w:val="Table Grid"/>
    <w:basedOn w:val="45"/>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page number"/>
    <w:semiHidden/>
    <w:unhideWhenUsed/>
    <w:qFormat/>
    <w:uiPriority w:val="0"/>
    <w:rPr>
      <w:rFonts w:hint="default" w:ascii="Times New Roman" w:hAnsi="Times New Roman" w:cs="Times New Roman"/>
    </w:rPr>
  </w:style>
  <w:style w:type="character" w:styleId="49">
    <w:name w:val="FollowedHyperlink"/>
    <w:semiHidden/>
    <w:unhideWhenUsed/>
    <w:qFormat/>
    <w:uiPriority w:val="0"/>
    <w:rPr>
      <w:rFonts w:hint="default" w:ascii="Times New Roman" w:hAnsi="Times New Roman" w:eastAsia="宋体" w:cs="Times New Roman"/>
      <w:color w:val="954F72"/>
      <w:u w:val="single"/>
    </w:rPr>
  </w:style>
  <w:style w:type="character" w:styleId="50">
    <w:name w:val="Hyperlink"/>
    <w:basedOn w:val="47"/>
    <w:semiHidden/>
    <w:unhideWhenUsed/>
    <w:qFormat/>
    <w:uiPriority w:val="99"/>
    <w:rPr>
      <w:rFonts w:hint="default" w:ascii="Times New Roman" w:hAnsi="Times New Roman" w:cs="Times New Roman"/>
      <w:color w:val="0000FF"/>
      <w:u w:val="single"/>
    </w:rPr>
  </w:style>
  <w:style w:type="character" w:styleId="51">
    <w:name w:val="annotation reference"/>
    <w:semiHidden/>
    <w:unhideWhenUsed/>
    <w:qFormat/>
    <w:uiPriority w:val="0"/>
    <w:rPr>
      <w:rFonts w:hint="default" w:ascii="Times New Roman" w:hAnsi="Times New Roman" w:eastAsia="宋体" w:cs="Times New Roman"/>
      <w:sz w:val="21"/>
      <w:szCs w:val="21"/>
    </w:rPr>
  </w:style>
  <w:style w:type="character" w:customStyle="1" w:styleId="52">
    <w:name w:val="页眉 字符"/>
    <w:basedOn w:val="47"/>
    <w:link w:val="30"/>
    <w:qFormat/>
    <w:uiPriority w:val="0"/>
    <w:rPr>
      <w:sz w:val="18"/>
      <w:szCs w:val="18"/>
    </w:rPr>
  </w:style>
  <w:style w:type="character" w:customStyle="1" w:styleId="53">
    <w:name w:val="页脚 字符"/>
    <w:basedOn w:val="47"/>
    <w:link w:val="29"/>
    <w:qFormat/>
    <w:uiPriority w:val="99"/>
    <w:rPr>
      <w:sz w:val="18"/>
      <w:szCs w:val="18"/>
    </w:rPr>
  </w:style>
  <w:style w:type="character" w:customStyle="1" w:styleId="54">
    <w:name w:val="标题 1 字符"/>
    <w:basedOn w:val="47"/>
    <w:qFormat/>
    <w:uiPriority w:val="0"/>
    <w:rPr>
      <w:rFonts w:ascii="Times New Roman" w:hAnsi="Times New Roman" w:eastAsia="宋体" w:cs="Times New Roman"/>
      <w:b/>
      <w:bCs/>
      <w:kern w:val="44"/>
      <w:sz w:val="44"/>
      <w:szCs w:val="44"/>
    </w:rPr>
  </w:style>
  <w:style w:type="character" w:customStyle="1" w:styleId="55">
    <w:name w:val="标题 2 字符"/>
    <w:basedOn w:val="47"/>
    <w:semiHidden/>
    <w:qFormat/>
    <w:uiPriority w:val="9"/>
    <w:rPr>
      <w:rFonts w:asciiTheme="majorHAnsi" w:hAnsiTheme="majorHAnsi" w:eastAsiaTheme="majorEastAsia" w:cstheme="majorBidi"/>
      <w:b/>
      <w:bCs/>
      <w:kern w:val="0"/>
      <w:sz w:val="32"/>
      <w:szCs w:val="32"/>
    </w:rPr>
  </w:style>
  <w:style w:type="character" w:customStyle="1" w:styleId="56">
    <w:name w:val="标题 3 字符"/>
    <w:basedOn w:val="47"/>
    <w:link w:val="7"/>
    <w:semiHidden/>
    <w:qFormat/>
    <w:uiPriority w:val="0"/>
    <w:rPr>
      <w:rFonts w:ascii="宋体" w:hAnsi="宋体" w:eastAsia="宋体" w:cs="宋体"/>
      <w:b/>
      <w:bCs/>
      <w:kern w:val="0"/>
      <w:sz w:val="32"/>
      <w:szCs w:val="32"/>
    </w:rPr>
  </w:style>
  <w:style w:type="character" w:customStyle="1" w:styleId="57">
    <w:name w:val="标题 4 字符"/>
    <w:basedOn w:val="47"/>
    <w:semiHidden/>
    <w:qFormat/>
    <w:uiPriority w:val="0"/>
    <w:rPr>
      <w:rFonts w:asciiTheme="majorHAnsi" w:hAnsiTheme="majorHAnsi" w:eastAsiaTheme="majorEastAsia" w:cstheme="majorBidi"/>
      <w:b/>
      <w:bCs/>
      <w:kern w:val="0"/>
      <w:sz w:val="28"/>
      <w:szCs w:val="28"/>
    </w:rPr>
  </w:style>
  <w:style w:type="character" w:customStyle="1" w:styleId="58">
    <w:name w:val="标题 5 字符"/>
    <w:basedOn w:val="47"/>
    <w:link w:val="10"/>
    <w:semiHidden/>
    <w:qFormat/>
    <w:uiPriority w:val="0"/>
    <w:rPr>
      <w:rFonts w:ascii="宋体" w:hAnsi="宋体" w:eastAsia="宋体" w:cs="宋体"/>
      <w:b/>
      <w:bCs/>
      <w:kern w:val="0"/>
      <w:sz w:val="28"/>
      <w:szCs w:val="28"/>
    </w:rPr>
  </w:style>
  <w:style w:type="character" w:customStyle="1" w:styleId="59">
    <w:name w:val="标题 6 字符"/>
    <w:basedOn w:val="47"/>
    <w:link w:val="11"/>
    <w:semiHidden/>
    <w:qFormat/>
    <w:uiPriority w:val="0"/>
    <w:rPr>
      <w:rFonts w:ascii="Arial" w:hAnsi="Arial" w:eastAsia="黑体" w:cs="Times New Roman"/>
      <w:b/>
      <w:kern w:val="0"/>
      <w:sz w:val="24"/>
      <w:szCs w:val="20"/>
    </w:rPr>
  </w:style>
  <w:style w:type="character" w:customStyle="1" w:styleId="60">
    <w:name w:val="标题 7 字符"/>
    <w:basedOn w:val="47"/>
    <w:link w:val="12"/>
    <w:semiHidden/>
    <w:qFormat/>
    <w:uiPriority w:val="99"/>
    <w:rPr>
      <w:rFonts w:ascii="Times New Roman" w:hAnsi="Times New Roman" w:eastAsia="宋体" w:cs="Times New Roman"/>
      <w:b/>
      <w:kern w:val="0"/>
      <w:sz w:val="24"/>
      <w:szCs w:val="20"/>
    </w:rPr>
  </w:style>
  <w:style w:type="character" w:customStyle="1" w:styleId="61">
    <w:name w:val="标题 8 字符"/>
    <w:basedOn w:val="47"/>
    <w:link w:val="13"/>
    <w:semiHidden/>
    <w:qFormat/>
    <w:uiPriority w:val="99"/>
    <w:rPr>
      <w:rFonts w:ascii="Arial" w:hAnsi="Arial" w:eastAsia="黑体" w:cs="Times New Roman"/>
      <w:kern w:val="0"/>
      <w:sz w:val="24"/>
      <w:szCs w:val="20"/>
    </w:rPr>
  </w:style>
  <w:style w:type="character" w:customStyle="1" w:styleId="62">
    <w:name w:val="标题 9 字符"/>
    <w:basedOn w:val="47"/>
    <w:link w:val="14"/>
    <w:semiHidden/>
    <w:qFormat/>
    <w:uiPriority w:val="99"/>
    <w:rPr>
      <w:rFonts w:ascii="Arial" w:hAnsi="Arial" w:eastAsia="黑体" w:cs="Times New Roman"/>
      <w:kern w:val="0"/>
      <w:szCs w:val="20"/>
    </w:rPr>
  </w:style>
  <w:style w:type="paragraph" w:customStyle="1" w:styleId="63">
    <w:name w:val="msonormal"/>
    <w:basedOn w:val="1"/>
    <w:qFormat/>
    <w:uiPriority w:val="99"/>
    <w:pPr>
      <w:widowControl/>
      <w:spacing w:before="100" w:beforeAutospacing="1" w:after="100" w:afterAutospacing="1"/>
      <w:jc w:val="left"/>
    </w:pPr>
    <w:rPr>
      <w:rFonts w:ascii="宋体" w:hAnsi="宋体" w:cs="宋体"/>
    </w:rPr>
  </w:style>
  <w:style w:type="character" w:customStyle="1" w:styleId="64">
    <w:name w:val="批注文字 字符"/>
    <w:basedOn w:val="47"/>
    <w:link w:val="18"/>
    <w:semiHidden/>
    <w:qFormat/>
    <w:uiPriority w:val="0"/>
    <w:rPr>
      <w:rFonts w:ascii="Times New Roman" w:hAnsi="Times New Roman" w:eastAsia="宋体" w:cs="Times New Roman"/>
      <w:kern w:val="0"/>
      <w:sz w:val="24"/>
      <w:szCs w:val="24"/>
    </w:rPr>
  </w:style>
  <w:style w:type="character" w:customStyle="1" w:styleId="65">
    <w:name w:val="标题 字符"/>
    <w:basedOn w:val="47"/>
    <w:link w:val="42"/>
    <w:qFormat/>
    <w:uiPriority w:val="0"/>
    <w:rPr>
      <w:rFonts w:ascii="@仿宋_GB2312" w:hAnsi="@仿宋_GB2312" w:eastAsia="宋体" w:cs="Times New Roman"/>
      <w:b/>
      <w:bCs/>
      <w:kern w:val="0"/>
      <w:sz w:val="32"/>
      <w:szCs w:val="32"/>
    </w:rPr>
  </w:style>
  <w:style w:type="character" w:customStyle="1" w:styleId="66">
    <w:name w:val="正文文本 字符"/>
    <w:basedOn w:val="47"/>
    <w:semiHidden/>
    <w:qFormat/>
    <w:uiPriority w:val="99"/>
    <w:rPr>
      <w:rFonts w:ascii="Times New Roman" w:hAnsi="Times New Roman" w:eastAsia="宋体" w:cs="Times New Roman"/>
      <w:kern w:val="0"/>
      <w:sz w:val="24"/>
      <w:szCs w:val="24"/>
    </w:rPr>
  </w:style>
  <w:style w:type="character" w:customStyle="1" w:styleId="67">
    <w:name w:val="正文文本缩进 字符"/>
    <w:basedOn w:val="47"/>
    <w:semiHidden/>
    <w:qFormat/>
    <w:uiPriority w:val="0"/>
    <w:rPr>
      <w:rFonts w:ascii="Times New Roman" w:hAnsi="Times New Roman" w:eastAsia="宋体" w:cs="Times New Roman"/>
      <w:kern w:val="0"/>
      <w:sz w:val="24"/>
      <w:szCs w:val="24"/>
    </w:rPr>
  </w:style>
  <w:style w:type="character" w:customStyle="1" w:styleId="68">
    <w:name w:val="副标题 字符"/>
    <w:basedOn w:val="47"/>
    <w:link w:val="33"/>
    <w:qFormat/>
    <w:uiPriority w:val="99"/>
    <w:rPr>
      <w:rFonts w:ascii="Cambria" w:hAnsi="Cambria" w:eastAsia="宋体" w:cs="Courier New"/>
      <w:b/>
      <w:bCs/>
      <w:kern w:val="28"/>
      <w:sz w:val="32"/>
      <w:szCs w:val="32"/>
    </w:rPr>
  </w:style>
  <w:style w:type="character" w:customStyle="1" w:styleId="69">
    <w:name w:val="日期 字符"/>
    <w:basedOn w:val="47"/>
    <w:link w:val="26"/>
    <w:semiHidden/>
    <w:qFormat/>
    <w:uiPriority w:val="99"/>
    <w:rPr>
      <w:rFonts w:ascii="Times New Roman" w:hAnsi="Times New Roman" w:eastAsia="宋体" w:cs="Times New Roman"/>
      <w:kern w:val="0"/>
      <w:sz w:val="24"/>
      <w:szCs w:val="24"/>
    </w:rPr>
  </w:style>
  <w:style w:type="character" w:customStyle="1" w:styleId="70">
    <w:name w:val="正文文本首行缩进 字符"/>
    <w:basedOn w:val="66"/>
    <w:link w:val="44"/>
    <w:semiHidden/>
    <w:qFormat/>
    <w:uiPriority w:val="0"/>
    <w:rPr>
      <w:rFonts w:ascii="Times New Roman" w:hAnsi="Times New Roman" w:eastAsia="宋体" w:cs="Times New Roman"/>
      <w:kern w:val="0"/>
      <w:sz w:val="24"/>
      <w:szCs w:val="24"/>
    </w:rPr>
  </w:style>
  <w:style w:type="character" w:customStyle="1" w:styleId="71">
    <w:name w:val="正文文本 2 字符"/>
    <w:basedOn w:val="47"/>
    <w:semiHidden/>
    <w:qFormat/>
    <w:uiPriority w:val="0"/>
    <w:rPr>
      <w:rFonts w:ascii="Times New Roman" w:hAnsi="Times New Roman" w:eastAsia="宋体" w:cs="Times New Roman"/>
      <w:kern w:val="0"/>
      <w:sz w:val="24"/>
      <w:szCs w:val="24"/>
    </w:rPr>
  </w:style>
  <w:style w:type="character" w:customStyle="1" w:styleId="72">
    <w:name w:val="正文文本缩进 2 字符"/>
    <w:basedOn w:val="47"/>
    <w:semiHidden/>
    <w:qFormat/>
    <w:uiPriority w:val="0"/>
    <w:rPr>
      <w:rFonts w:ascii="Times New Roman" w:hAnsi="Times New Roman" w:eastAsia="宋体" w:cs="Times New Roman"/>
      <w:kern w:val="0"/>
      <w:sz w:val="24"/>
      <w:szCs w:val="24"/>
    </w:rPr>
  </w:style>
  <w:style w:type="character" w:customStyle="1" w:styleId="73">
    <w:name w:val="正文文本缩进 3 字符"/>
    <w:basedOn w:val="47"/>
    <w:link w:val="35"/>
    <w:semiHidden/>
    <w:qFormat/>
    <w:uiPriority w:val="99"/>
    <w:rPr>
      <w:rFonts w:ascii="Times New Roman" w:hAnsi="Times New Roman" w:eastAsia="宋体" w:cs="Times New Roman"/>
      <w:kern w:val="0"/>
      <w:sz w:val="16"/>
      <w:szCs w:val="16"/>
    </w:rPr>
  </w:style>
  <w:style w:type="character" w:customStyle="1" w:styleId="74">
    <w:name w:val="文档结构图 字符"/>
    <w:basedOn w:val="47"/>
    <w:semiHidden/>
    <w:qFormat/>
    <w:uiPriority w:val="0"/>
    <w:rPr>
      <w:rFonts w:ascii="Microsoft YaHei UI" w:hAnsi="Times New Roman" w:eastAsia="Microsoft YaHei UI" w:cs="Times New Roman"/>
      <w:kern w:val="0"/>
      <w:sz w:val="18"/>
      <w:szCs w:val="18"/>
    </w:rPr>
  </w:style>
  <w:style w:type="character" w:customStyle="1" w:styleId="75">
    <w:name w:val="纯文本 字符"/>
    <w:basedOn w:val="47"/>
    <w:semiHidden/>
    <w:qFormat/>
    <w:uiPriority w:val="0"/>
    <w:rPr>
      <w:rFonts w:hAnsi="Courier New" w:cs="Courier New" w:asciiTheme="minorEastAsia"/>
      <w:kern w:val="0"/>
      <w:sz w:val="24"/>
      <w:szCs w:val="24"/>
    </w:rPr>
  </w:style>
  <w:style w:type="character" w:customStyle="1" w:styleId="76">
    <w:name w:val="批注主题 字符"/>
    <w:basedOn w:val="64"/>
    <w:link w:val="43"/>
    <w:semiHidden/>
    <w:qFormat/>
    <w:uiPriority w:val="0"/>
    <w:rPr>
      <w:rFonts w:ascii="Times New Roman" w:hAnsi="Times New Roman" w:eastAsia="宋体" w:cs="Times New Roman"/>
      <w:b/>
      <w:bCs/>
      <w:kern w:val="0"/>
      <w:sz w:val="24"/>
      <w:szCs w:val="24"/>
    </w:rPr>
  </w:style>
  <w:style w:type="character" w:customStyle="1" w:styleId="77">
    <w:name w:val="批注框文本 字符"/>
    <w:basedOn w:val="47"/>
    <w:semiHidden/>
    <w:qFormat/>
    <w:uiPriority w:val="0"/>
    <w:rPr>
      <w:rFonts w:ascii="Times New Roman" w:hAnsi="Times New Roman" w:eastAsia="宋体" w:cs="Times New Roman"/>
      <w:kern w:val="0"/>
      <w:sz w:val="18"/>
      <w:szCs w:val="18"/>
    </w:rPr>
  </w:style>
  <w:style w:type="paragraph" w:customStyle="1" w:styleId="78">
    <w:name w:val="Revision"/>
    <w:semiHidden/>
    <w:qFormat/>
    <w:uiPriority w:val="0"/>
    <w:rPr>
      <w:rFonts w:ascii="Times New Roman" w:hAnsi="Times New Roman" w:eastAsia="宋体" w:cs="Times New Roman"/>
      <w:kern w:val="0"/>
      <w:sz w:val="24"/>
      <w:szCs w:val="24"/>
      <w:lang w:val="en-US" w:eastAsia="zh-CN" w:bidi="ar-SA"/>
    </w:rPr>
  </w:style>
  <w:style w:type="character" w:customStyle="1" w:styleId="79">
    <w:name w:val="列表段落 字符1"/>
    <w:link w:val="80"/>
    <w:qFormat/>
    <w:locked/>
    <w:uiPriority w:val="0"/>
    <w:rPr>
      <w:sz w:val="22"/>
      <w:lang w:eastAsia="en-US" w:bidi="en-US"/>
    </w:rPr>
  </w:style>
  <w:style w:type="paragraph" w:styleId="80">
    <w:name w:val="List Paragraph"/>
    <w:basedOn w:val="1"/>
    <w:link w:val="79"/>
    <w:qFormat/>
    <w:uiPriority w:val="34"/>
    <w:pPr>
      <w:ind w:firstLine="420" w:firstLineChars="200"/>
    </w:pPr>
    <w:rPr>
      <w:rFonts w:asciiTheme="minorHAnsi" w:hAnsiTheme="minorHAnsi" w:eastAsiaTheme="minorEastAsia" w:cstheme="minorBidi"/>
      <w:kern w:val="2"/>
      <w:sz w:val="22"/>
      <w:szCs w:val="22"/>
      <w:lang w:eastAsia="en-US" w:bidi="en-US"/>
    </w:rPr>
  </w:style>
  <w:style w:type="paragraph" w:customStyle="1" w:styleId="81">
    <w:name w:val="TOC Heading"/>
    <w:basedOn w:val="5"/>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82">
    <w:name w:val="列出段落 Char"/>
    <w:link w:val="83"/>
    <w:qFormat/>
    <w:locked/>
    <w:uiPriority w:val="0"/>
    <w:rPr>
      <w:sz w:val="24"/>
      <w:szCs w:val="24"/>
    </w:rPr>
  </w:style>
  <w:style w:type="paragraph" w:customStyle="1" w:styleId="83">
    <w:name w:val="列表段落1"/>
    <w:basedOn w:val="1"/>
    <w:link w:val="82"/>
    <w:qFormat/>
    <w:uiPriority w:val="0"/>
    <w:pPr>
      <w:ind w:firstLine="420" w:firstLineChars="200"/>
    </w:pPr>
    <w:rPr>
      <w:rFonts w:asciiTheme="minorHAnsi" w:hAnsiTheme="minorHAnsi" w:eastAsiaTheme="minorEastAsia" w:cstheme="minorBidi"/>
      <w:kern w:val="2"/>
    </w:rPr>
  </w:style>
  <w:style w:type="character" w:customStyle="1" w:styleId="84">
    <w:name w:val="1111111199999 Char"/>
    <w:link w:val="85"/>
    <w:qFormat/>
    <w:locked/>
    <w:uiPriority w:val="0"/>
  </w:style>
  <w:style w:type="paragraph" w:customStyle="1" w:styleId="85">
    <w:name w:val="1111111199999"/>
    <w:basedOn w:val="1"/>
    <w:link w:val="84"/>
    <w:qFormat/>
    <w:uiPriority w:val="0"/>
    <w:pPr>
      <w:widowControl/>
      <w:spacing w:beforeLines="50" w:line="240" w:lineRule="exact"/>
      <w:ind w:firstLine="514" w:firstLineChars="214"/>
      <w:jc w:val="left"/>
    </w:pPr>
    <w:rPr>
      <w:rFonts w:asciiTheme="minorHAnsi" w:hAnsiTheme="minorHAnsi" w:eastAsiaTheme="minorEastAsia" w:cstheme="minorBidi"/>
      <w:kern w:val="2"/>
      <w:sz w:val="21"/>
      <w:szCs w:val="22"/>
    </w:rPr>
  </w:style>
  <w:style w:type="character" w:customStyle="1" w:styleId="86">
    <w:name w:val="List Paragraph Char"/>
    <w:link w:val="87"/>
    <w:qFormat/>
    <w:locked/>
    <w:uiPriority w:val="0"/>
    <w:rPr>
      <w:rFonts w:ascii="Calibri" w:hAnsi="Calibri" w:cs="Calibri"/>
      <w:sz w:val="22"/>
      <w:lang w:eastAsia="en-US"/>
    </w:rPr>
  </w:style>
  <w:style w:type="paragraph" w:customStyle="1" w:styleId="87">
    <w:name w:val="列出段落1"/>
    <w:basedOn w:val="1"/>
    <w:link w:val="86"/>
    <w:qFormat/>
    <w:uiPriority w:val="99"/>
    <w:pPr>
      <w:widowControl/>
      <w:ind w:left="720" w:firstLine="360"/>
      <w:jc w:val="left"/>
    </w:pPr>
    <w:rPr>
      <w:rFonts w:ascii="Calibri" w:hAnsi="Calibri" w:cs="Calibri" w:eastAsiaTheme="minorEastAsia"/>
      <w:kern w:val="2"/>
      <w:sz w:val="22"/>
      <w:szCs w:val="22"/>
      <w:lang w:eastAsia="en-US"/>
    </w:rPr>
  </w:style>
  <w:style w:type="paragraph" w:customStyle="1" w:styleId="88">
    <w:name w:val="Char Char Char Char"/>
    <w:basedOn w:val="1"/>
    <w:qFormat/>
    <w:uiPriority w:val="99"/>
    <w:rPr>
      <w:kern w:val="2"/>
      <w:szCs w:val="36"/>
    </w:rPr>
  </w:style>
  <w:style w:type="paragraph" w:customStyle="1" w:styleId="89">
    <w:name w:val="正文文字缩进"/>
    <w:qFormat/>
    <w:uiPriority w:val="99"/>
    <w:pPr>
      <w:spacing w:line="351" w:lineRule="atLeast"/>
      <w:ind w:firstLine="555"/>
    </w:pPr>
    <w:rPr>
      <w:rFonts w:ascii="Times New Roman" w:hAnsi="Times New Roman" w:eastAsia="宋体" w:cs="Times New Roman"/>
      <w:color w:val="000000"/>
      <w:kern w:val="0"/>
      <w:sz w:val="28"/>
      <w:szCs w:val="20"/>
      <w:lang w:val="en-US" w:eastAsia="zh-CN" w:bidi="ar-SA"/>
    </w:rPr>
  </w:style>
  <w:style w:type="paragraph" w:customStyle="1" w:styleId="90">
    <w:name w:val="样式2"/>
    <w:basedOn w:val="5"/>
    <w:qFormat/>
    <w:uiPriority w:val="99"/>
    <w:pPr>
      <w:spacing w:line="640" w:lineRule="exact"/>
      <w:jc w:val="center"/>
    </w:pPr>
    <w:rPr>
      <w:rFonts w:ascii="方正小标宋简体" w:hAnsi="华文中宋" w:eastAsia="方正小标宋简体"/>
      <w:b w:val="0"/>
    </w:rPr>
  </w:style>
  <w:style w:type="paragraph" w:customStyle="1" w:styleId="91">
    <w:name w:val="列出段落11"/>
    <w:basedOn w:val="1"/>
    <w:qFormat/>
    <w:uiPriority w:val="99"/>
    <w:pPr>
      <w:widowControl/>
      <w:spacing w:line="351" w:lineRule="atLeast"/>
      <w:ind w:firstLine="420" w:firstLineChars="200"/>
    </w:pPr>
    <w:rPr>
      <w:color w:val="000000"/>
      <w:sz w:val="20"/>
      <w:szCs w:val="20"/>
      <w:lang w:val="zh-CN"/>
    </w:rPr>
  </w:style>
  <w:style w:type="paragraph" w:customStyle="1" w:styleId="92">
    <w:name w:val="样式1"/>
    <w:basedOn w:val="5"/>
    <w:link w:val="259"/>
    <w:qFormat/>
    <w:uiPriority w:val="0"/>
    <w:pPr>
      <w:spacing w:line="640" w:lineRule="exact"/>
      <w:jc w:val="center"/>
    </w:pPr>
    <w:rPr>
      <w:rFonts w:ascii="方正小标宋简体" w:hAnsi="华文中宋" w:eastAsia="方正小标宋简体"/>
      <w:b w:val="0"/>
    </w:rPr>
  </w:style>
  <w:style w:type="paragraph" w:customStyle="1" w:styleId="93">
    <w:name w:val="列出段落12"/>
    <w:basedOn w:val="1"/>
    <w:qFormat/>
    <w:uiPriority w:val="99"/>
    <w:pPr>
      <w:widowControl/>
      <w:ind w:left="720" w:firstLine="360"/>
      <w:jc w:val="left"/>
    </w:pPr>
    <w:rPr>
      <w:rFonts w:ascii="Calibri" w:hAnsi="Calibri"/>
      <w:sz w:val="22"/>
      <w:szCs w:val="20"/>
      <w:lang w:eastAsia="en-US"/>
    </w:rPr>
  </w:style>
  <w:style w:type="paragraph" w:customStyle="1" w:styleId="94">
    <w:name w:val="样式3"/>
    <w:basedOn w:val="5"/>
    <w:qFormat/>
    <w:uiPriority w:val="99"/>
    <w:pPr>
      <w:spacing w:line="640" w:lineRule="exact"/>
      <w:jc w:val="center"/>
    </w:pPr>
    <w:rPr>
      <w:rFonts w:ascii="方正小标宋简体" w:hAnsi="华文中宋" w:eastAsia="方正小标宋简体"/>
      <w:b w:val="0"/>
    </w:rPr>
  </w:style>
  <w:style w:type="character" w:customStyle="1" w:styleId="95">
    <w:name w:val="段 Char"/>
    <w:link w:val="96"/>
    <w:qFormat/>
    <w:locked/>
    <w:uiPriority w:val="0"/>
    <w:rPr>
      <w:rFonts w:ascii="宋体" w:hAnsi="宋体" w:eastAsia="宋体"/>
    </w:rPr>
  </w:style>
  <w:style w:type="paragraph" w:customStyle="1" w:styleId="96">
    <w:name w:val="段"/>
    <w:link w:val="95"/>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97">
    <w:name w:val="font5"/>
    <w:basedOn w:val="1"/>
    <w:qFormat/>
    <w:uiPriority w:val="99"/>
    <w:pPr>
      <w:widowControl/>
      <w:spacing w:before="100" w:beforeAutospacing="1" w:after="100" w:afterAutospacing="1"/>
      <w:jc w:val="left"/>
    </w:pPr>
    <w:rPr>
      <w:rFonts w:ascii="等线" w:hAnsi="等线" w:eastAsia="等线" w:cs="宋体"/>
      <w:sz w:val="18"/>
      <w:szCs w:val="18"/>
    </w:rPr>
  </w:style>
  <w:style w:type="paragraph" w:customStyle="1" w:styleId="98">
    <w:name w:val="xl73"/>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color w:val="000000"/>
    </w:rPr>
  </w:style>
  <w:style w:type="paragraph" w:customStyle="1" w:styleId="99">
    <w:name w:val="xl7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sz w:val="16"/>
      <w:szCs w:val="16"/>
    </w:rPr>
  </w:style>
  <w:style w:type="paragraph" w:customStyle="1" w:styleId="100">
    <w:name w:val="_Style 50"/>
    <w:basedOn w:val="1"/>
    <w:next w:val="1"/>
    <w:qFormat/>
    <w:uiPriority w:val="0"/>
    <w:pPr>
      <w:tabs>
        <w:tab w:val="right" w:leader="dot" w:pos="8658"/>
      </w:tabs>
      <w:ind w:left="935" w:leftChars="400"/>
    </w:pPr>
  </w:style>
  <w:style w:type="paragraph" w:customStyle="1" w:styleId="101">
    <w:name w:val="xl74"/>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sz w:val="18"/>
      <w:szCs w:val="18"/>
    </w:rPr>
  </w:style>
  <w:style w:type="paragraph" w:customStyle="1" w:styleId="10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sz w:val="28"/>
      <w:szCs w:val="28"/>
    </w:rPr>
  </w:style>
  <w:style w:type="paragraph" w:customStyle="1" w:styleId="103">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黑体" w:hAnsi="黑体" w:eastAsia="黑体" w:cs="宋体"/>
      <w:color w:val="000000"/>
    </w:rPr>
  </w:style>
  <w:style w:type="paragraph" w:customStyle="1" w:styleId="104">
    <w:name w:val="xl6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rPr>
  </w:style>
  <w:style w:type="paragraph" w:customStyle="1" w:styleId="105">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rPr>
  </w:style>
  <w:style w:type="paragraph" w:customStyle="1" w:styleId="106">
    <w:name w:val="样式 首行缩进:  2 字符"/>
    <w:basedOn w:val="1"/>
    <w:qFormat/>
    <w:uiPriority w:val="0"/>
    <w:pPr>
      <w:widowControl/>
      <w:ind w:firstLine="420" w:firstLineChars="200"/>
      <w:jc w:val="left"/>
    </w:pPr>
    <w:rPr>
      <w:rFonts w:ascii="方正小标宋简体" w:hAnsi="方正小标宋简体" w:cs="方正小标宋简体"/>
      <w:sz w:val="28"/>
      <w:szCs w:val="20"/>
    </w:rPr>
  </w:style>
  <w:style w:type="paragraph" w:customStyle="1" w:styleId="107">
    <w:name w:val="正文首行缩进 + 宋体"/>
    <w:qFormat/>
    <w:uiPriority w:val="0"/>
    <w:pPr>
      <w:widowControl w:val="0"/>
      <w:spacing w:after="120" w:line="360" w:lineRule="auto"/>
      <w:ind w:firstLine="200" w:firstLineChars="200"/>
      <w:jc w:val="both"/>
    </w:pPr>
    <w:rPr>
      <w:rFonts w:ascii="方正小标宋简体" w:hAnsi="方正小标宋简体" w:eastAsia="宋体" w:cs="Times New Roman"/>
      <w:kern w:val="2"/>
      <w:sz w:val="24"/>
      <w:szCs w:val="22"/>
      <w:lang w:val="en-US" w:eastAsia="zh-CN" w:bidi="ar-SA"/>
    </w:rPr>
  </w:style>
  <w:style w:type="paragraph" w:customStyle="1" w:styleId="108">
    <w:name w:val="正文文本 (2)"/>
    <w:basedOn w:val="1"/>
    <w:qFormat/>
    <w:uiPriority w:val="0"/>
    <w:pPr>
      <w:widowControl/>
      <w:shd w:val="clear" w:color="auto" w:fill="FFFFFF"/>
      <w:spacing w:line="571" w:lineRule="exact"/>
      <w:jc w:val="distribute"/>
    </w:pPr>
    <w:rPr>
      <w:rFonts w:ascii="黑体" w:hAnsi="黑体" w:eastAsia="黑体" w:cs="黑体"/>
      <w:spacing w:val="40"/>
      <w:sz w:val="30"/>
      <w:szCs w:val="30"/>
    </w:rPr>
  </w:style>
  <w:style w:type="paragraph" w:customStyle="1" w:styleId="109">
    <w:name w:val="p0"/>
    <w:basedOn w:val="1"/>
    <w:link w:val="260"/>
    <w:qFormat/>
    <w:uiPriority w:val="0"/>
    <w:pPr>
      <w:widowControl/>
      <w:jc w:val="left"/>
    </w:pPr>
    <w:rPr>
      <w:rFonts w:ascii="宋体" w:hAnsi="宋体" w:cs="宋体"/>
      <w:sz w:val="21"/>
      <w:szCs w:val="21"/>
    </w:rPr>
  </w:style>
  <w:style w:type="paragraph" w:customStyle="1" w:styleId="110">
    <w:name w:val="图"/>
    <w:basedOn w:val="1"/>
    <w:qFormat/>
    <w:uiPriority w:val="0"/>
    <w:pPr>
      <w:keepNext/>
      <w:adjustRightInd w:val="0"/>
      <w:snapToGrid w:val="0"/>
      <w:spacing w:before="60" w:after="60" w:line="300" w:lineRule="auto"/>
      <w:jc w:val="center"/>
    </w:pPr>
    <w:rPr>
      <w:rFonts w:ascii="Calibri" w:hAnsi="Calibri" w:cs="宋体"/>
      <w:spacing w:val="20"/>
      <w:szCs w:val="20"/>
    </w:rPr>
  </w:style>
  <w:style w:type="paragraph" w:customStyle="1" w:styleId="111">
    <w:name w:val="xl70"/>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rPr>
  </w:style>
  <w:style w:type="paragraph" w:customStyle="1" w:styleId="112">
    <w:name w:val="xl66"/>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color w:val="000000"/>
    </w:rPr>
  </w:style>
  <w:style w:type="paragraph" w:customStyle="1" w:styleId="113">
    <w:name w:val="_Style 33"/>
    <w:basedOn w:val="1"/>
    <w:next w:val="80"/>
    <w:qFormat/>
    <w:uiPriority w:val="0"/>
    <w:pPr>
      <w:widowControl/>
      <w:ind w:firstLine="420" w:firstLineChars="200"/>
      <w:jc w:val="left"/>
    </w:pPr>
    <w:rPr>
      <w:rFonts w:ascii="宋体" w:hAnsi="宋体" w:cs="宋体"/>
      <w:kern w:val="2"/>
      <w:sz w:val="21"/>
    </w:rPr>
  </w:style>
  <w:style w:type="paragraph" w:customStyle="1" w:styleId="114">
    <w:name w:val="_Style 28"/>
    <w:basedOn w:val="1"/>
    <w:next w:val="80"/>
    <w:qFormat/>
    <w:uiPriority w:val="0"/>
    <w:pPr>
      <w:widowControl/>
      <w:ind w:left="720" w:firstLine="360"/>
      <w:contextualSpacing/>
      <w:jc w:val="left"/>
    </w:pPr>
    <w:rPr>
      <w:sz w:val="22"/>
      <w:szCs w:val="22"/>
      <w:lang w:eastAsia="en-US" w:bidi="en-US"/>
    </w:rPr>
  </w:style>
  <w:style w:type="paragraph" w:customStyle="1" w:styleId="1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16">
    <w:name w:val="xl77"/>
    <w:basedOn w:val="1"/>
    <w:qFormat/>
    <w:uiPriority w:val="0"/>
    <w:pPr>
      <w:widowControl/>
      <w:pBdr>
        <w:top w:val="single" w:color="auto" w:sz="8" w:space="0"/>
      </w:pBdr>
      <w:spacing w:before="100" w:beforeAutospacing="1" w:after="100" w:afterAutospacing="1"/>
      <w:jc w:val="left"/>
    </w:pPr>
    <w:rPr>
      <w:rFonts w:ascii="宋体" w:hAnsi="宋体" w:cs="宋体"/>
      <w:color w:val="000000"/>
    </w:rPr>
  </w:style>
  <w:style w:type="paragraph" w:customStyle="1" w:styleId="117">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黑体" w:hAnsi="黑体" w:eastAsia="黑体" w:cs="宋体"/>
      <w:color w:val="000000"/>
    </w:rPr>
  </w:style>
  <w:style w:type="paragraph" w:customStyle="1" w:styleId="118">
    <w:name w:val="目录"/>
    <w:basedOn w:val="1"/>
    <w:qFormat/>
    <w:uiPriority w:val="0"/>
    <w:pPr>
      <w:widowControl/>
      <w:shd w:val="clear" w:color="auto" w:fill="FFFFFF"/>
      <w:spacing w:line="571" w:lineRule="exact"/>
      <w:jc w:val="distribute"/>
    </w:pPr>
    <w:rPr>
      <w:rFonts w:ascii="黑体" w:hAnsi="黑体" w:eastAsia="黑体" w:cs="黑体"/>
      <w:spacing w:val="40"/>
      <w:sz w:val="30"/>
      <w:szCs w:val="30"/>
    </w:rPr>
  </w:style>
  <w:style w:type="paragraph" w:customStyle="1" w:styleId="1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20">
    <w:name w:val="xl76"/>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cs="宋体"/>
      <w:color w:val="000000"/>
    </w:rPr>
  </w:style>
  <w:style w:type="paragraph" w:customStyle="1" w:styleId="121">
    <w:name w:val="_Style 34"/>
    <w:basedOn w:val="20"/>
    <w:next w:val="44"/>
    <w:qFormat/>
    <w:uiPriority w:val="0"/>
    <w:pPr>
      <w:ind w:firstLine="420" w:firstLineChars="100"/>
    </w:pPr>
    <w:rPr>
      <w:rFonts w:ascii="Calibri" w:hAnsi="Calibri"/>
    </w:rPr>
  </w:style>
  <w:style w:type="character" w:customStyle="1" w:styleId="122">
    <w:name w:val="Default Text Char"/>
    <w:link w:val="123"/>
    <w:qFormat/>
    <w:locked/>
    <w:uiPriority w:val="0"/>
    <w:rPr>
      <w:color w:val="000000"/>
      <w:sz w:val="24"/>
      <w:szCs w:val="24"/>
    </w:rPr>
  </w:style>
  <w:style w:type="paragraph" w:customStyle="1" w:styleId="123">
    <w:name w:val="Default Text"/>
    <w:link w:val="122"/>
    <w:qFormat/>
    <w:uiPriority w:val="0"/>
    <w:pPr>
      <w:widowControl w:val="0"/>
      <w:autoSpaceDE w:val="0"/>
      <w:autoSpaceDN w:val="0"/>
      <w:adjustRightInd w:val="0"/>
    </w:pPr>
    <w:rPr>
      <w:rFonts w:asciiTheme="minorHAnsi" w:hAnsiTheme="minorHAnsi" w:eastAsiaTheme="minorEastAsia" w:cstheme="minorBidi"/>
      <w:color w:val="000000"/>
      <w:kern w:val="2"/>
      <w:sz w:val="24"/>
      <w:szCs w:val="24"/>
      <w:lang w:val="en-US" w:eastAsia="zh-CN" w:bidi="ar-SA"/>
    </w:rPr>
  </w:style>
  <w:style w:type="paragraph" w:customStyle="1" w:styleId="124">
    <w:name w:val="Default Text:1"/>
    <w:basedOn w:val="1"/>
    <w:qFormat/>
    <w:uiPriority w:val="0"/>
    <w:pPr>
      <w:widowControl/>
      <w:overflowPunct w:val="0"/>
      <w:autoSpaceDE w:val="0"/>
      <w:autoSpaceDN w:val="0"/>
      <w:adjustRightInd w:val="0"/>
      <w:jc w:val="left"/>
    </w:pPr>
  </w:style>
  <w:style w:type="paragraph" w:customStyle="1" w:styleId="125">
    <w:name w:val="正文文本缩进1"/>
    <w:basedOn w:val="1"/>
    <w:qFormat/>
    <w:uiPriority w:val="0"/>
    <w:pPr>
      <w:ind w:firstLine="630"/>
    </w:pPr>
    <w:rPr>
      <w:rFonts w:eastAsia="楷体_GB2312"/>
      <w:kern w:val="2"/>
      <w:sz w:val="30"/>
      <w:szCs w:val="20"/>
    </w:rPr>
  </w:style>
  <w:style w:type="paragraph" w:customStyle="1" w:styleId="126">
    <w:name w:val="缺省文本"/>
    <w:basedOn w:val="1"/>
    <w:qFormat/>
    <w:uiPriority w:val="0"/>
    <w:pPr>
      <w:autoSpaceDE w:val="0"/>
      <w:autoSpaceDN w:val="0"/>
      <w:adjustRightInd w:val="0"/>
    </w:pPr>
    <w:rPr>
      <w:color w:val="000000"/>
      <w:kern w:val="2"/>
      <w:sz w:val="21"/>
    </w:rPr>
  </w:style>
  <w:style w:type="paragraph" w:customStyle="1" w:styleId="127">
    <w:name w:val="_Style 53"/>
    <w:basedOn w:val="1"/>
    <w:next w:val="80"/>
    <w:qFormat/>
    <w:uiPriority w:val="34"/>
    <w:pPr>
      <w:adjustRightInd w:val="0"/>
      <w:spacing w:line="360" w:lineRule="atLeast"/>
      <w:ind w:firstLine="420" w:firstLineChars="200"/>
    </w:pPr>
  </w:style>
  <w:style w:type="paragraph" w:customStyle="1" w:styleId="128">
    <w:name w:val="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129">
    <w:name w:val="font6"/>
    <w:basedOn w:val="1"/>
    <w:qFormat/>
    <w:uiPriority w:val="0"/>
    <w:pPr>
      <w:widowControl/>
      <w:spacing w:before="100" w:beforeAutospacing="1" w:after="100" w:afterAutospacing="1"/>
      <w:jc w:val="left"/>
    </w:pPr>
  </w:style>
  <w:style w:type="paragraph" w:customStyle="1" w:styleId="130">
    <w:name w:val="font7"/>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131">
    <w:name w:val="font8"/>
    <w:basedOn w:val="1"/>
    <w:qFormat/>
    <w:uiPriority w:val="0"/>
    <w:pPr>
      <w:widowControl/>
      <w:spacing w:before="100" w:beforeAutospacing="1" w:after="100" w:afterAutospacing="1"/>
      <w:jc w:val="left"/>
    </w:pPr>
    <w:rPr>
      <w:color w:val="000000"/>
      <w:sz w:val="22"/>
      <w:szCs w:val="22"/>
    </w:rPr>
  </w:style>
  <w:style w:type="paragraph" w:customStyle="1" w:styleId="132">
    <w:name w:val="font9"/>
    <w:basedOn w:val="1"/>
    <w:qFormat/>
    <w:uiPriority w:val="0"/>
    <w:pPr>
      <w:widowControl/>
      <w:spacing w:before="100" w:beforeAutospacing="1" w:after="100" w:afterAutospacing="1"/>
      <w:jc w:val="left"/>
    </w:pPr>
    <w:rPr>
      <w:color w:val="000000"/>
      <w:sz w:val="22"/>
      <w:szCs w:val="22"/>
    </w:rPr>
  </w:style>
  <w:style w:type="paragraph" w:customStyle="1" w:styleId="133">
    <w:name w:val="font10"/>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134">
    <w:name w:val="font12"/>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135">
    <w:name w:val="font13"/>
    <w:basedOn w:val="1"/>
    <w:qFormat/>
    <w:uiPriority w:val="0"/>
    <w:pPr>
      <w:widowControl/>
      <w:spacing w:before="100" w:beforeAutospacing="1" w:after="100" w:afterAutospacing="1"/>
      <w:jc w:val="left"/>
    </w:pPr>
    <w:rPr>
      <w:color w:val="000000"/>
      <w:sz w:val="22"/>
      <w:szCs w:val="22"/>
    </w:rPr>
  </w:style>
  <w:style w:type="paragraph" w:customStyle="1" w:styleId="136">
    <w:name w:val="font14"/>
    <w:basedOn w:val="1"/>
    <w:qFormat/>
    <w:uiPriority w:val="0"/>
    <w:pPr>
      <w:widowControl/>
      <w:spacing w:before="100" w:beforeAutospacing="1" w:after="100" w:afterAutospacing="1"/>
      <w:jc w:val="left"/>
    </w:pPr>
    <w:rPr>
      <w:rFonts w:ascii="Calibri" w:hAnsi="Calibri" w:cs="Calibri"/>
    </w:rPr>
  </w:style>
  <w:style w:type="paragraph" w:customStyle="1" w:styleId="137">
    <w:name w:val="font15"/>
    <w:basedOn w:val="1"/>
    <w:qFormat/>
    <w:uiPriority w:val="0"/>
    <w:pPr>
      <w:widowControl/>
      <w:spacing w:before="100" w:beforeAutospacing="1" w:after="100" w:afterAutospacing="1"/>
      <w:jc w:val="left"/>
    </w:pPr>
    <w:rPr>
      <w:rFonts w:ascii="Calibri" w:hAnsi="Calibri" w:cs="Calibri"/>
      <w:sz w:val="22"/>
      <w:szCs w:val="22"/>
    </w:rPr>
  </w:style>
  <w:style w:type="paragraph" w:customStyle="1" w:styleId="138">
    <w:name w:val="font16"/>
    <w:basedOn w:val="1"/>
    <w:qFormat/>
    <w:uiPriority w:val="0"/>
    <w:pPr>
      <w:widowControl/>
      <w:spacing w:before="100" w:beforeAutospacing="1" w:after="100" w:afterAutospacing="1"/>
      <w:jc w:val="left"/>
    </w:pPr>
    <w:rPr>
      <w:rFonts w:ascii="宋体" w:hAnsi="宋体" w:cs="宋体"/>
      <w:u w:val="single"/>
    </w:rPr>
  </w:style>
  <w:style w:type="paragraph" w:customStyle="1" w:styleId="139">
    <w:name w:val="font17"/>
    <w:basedOn w:val="1"/>
    <w:qFormat/>
    <w:uiPriority w:val="0"/>
    <w:pPr>
      <w:widowControl/>
      <w:spacing w:before="100" w:beforeAutospacing="1" w:after="100" w:afterAutospacing="1"/>
      <w:jc w:val="left"/>
    </w:pPr>
    <w:rPr>
      <w:rFonts w:ascii="宋体" w:hAnsi="宋体" w:cs="宋体"/>
    </w:rPr>
  </w:style>
  <w:style w:type="paragraph" w:customStyle="1" w:styleId="140">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2"/>
      <w:szCs w:val="22"/>
    </w:rPr>
  </w:style>
  <w:style w:type="paragraph" w:customStyle="1" w:styleId="14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2"/>
      <w:szCs w:val="22"/>
    </w:rPr>
  </w:style>
  <w:style w:type="paragraph" w:customStyle="1" w:styleId="14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4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style>
  <w:style w:type="paragraph" w:customStyle="1" w:styleId="14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2"/>
      <w:szCs w:val="22"/>
    </w:rPr>
  </w:style>
  <w:style w:type="paragraph" w:customStyle="1" w:styleId="14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sz w:val="28"/>
      <w:szCs w:val="28"/>
    </w:rPr>
  </w:style>
  <w:style w:type="paragraph" w:customStyle="1" w:styleId="14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sz w:val="22"/>
      <w:szCs w:val="22"/>
    </w:rPr>
  </w:style>
  <w:style w:type="paragraph" w:customStyle="1" w:styleId="14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2"/>
      <w:szCs w:val="22"/>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8"/>
      <w:szCs w:val="28"/>
    </w:rPr>
  </w:style>
  <w:style w:type="paragraph" w:customStyle="1" w:styleId="14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2"/>
      <w:szCs w:val="22"/>
    </w:rPr>
  </w:style>
  <w:style w:type="paragraph" w:customStyle="1" w:styleId="15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sz w:val="22"/>
      <w:szCs w:val="22"/>
    </w:rPr>
  </w:style>
  <w:style w:type="paragraph" w:customStyle="1" w:styleId="15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2"/>
      <w:szCs w:val="22"/>
    </w:rPr>
  </w:style>
  <w:style w:type="paragraph" w:customStyle="1" w:styleId="15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2"/>
      <w:szCs w:val="22"/>
    </w:rPr>
  </w:style>
  <w:style w:type="paragraph" w:customStyle="1" w:styleId="15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2"/>
      <w:szCs w:val="22"/>
    </w:rPr>
  </w:style>
  <w:style w:type="paragraph" w:customStyle="1" w:styleId="1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2"/>
      <w:szCs w:val="22"/>
    </w:rPr>
  </w:style>
  <w:style w:type="paragraph" w:customStyle="1" w:styleId="15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2"/>
      <w:szCs w:val="22"/>
    </w:rPr>
  </w:style>
  <w:style w:type="paragraph" w:customStyle="1" w:styleId="15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5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2"/>
      <w:szCs w:val="22"/>
    </w:rPr>
  </w:style>
  <w:style w:type="paragraph" w:customStyle="1" w:styleId="15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sz w:val="22"/>
      <w:szCs w:val="22"/>
    </w:rPr>
  </w:style>
  <w:style w:type="paragraph" w:customStyle="1" w:styleId="159">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rPr>
  </w:style>
  <w:style w:type="paragraph" w:customStyle="1" w:styleId="16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rPr>
  </w:style>
  <w:style w:type="paragraph" w:customStyle="1" w:styleId="16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rPr>
  </w:style>
  <w:style w:type="paragraph" w:customStyle="1" w:styleId="16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8"/>
      <w:szCs w:val="28"/>
    </w:rPr>
  </w:style>
  <w:style w:type="character" w:customStyle="1" w:styleId="163">
    <w:name w:val="标题 1 字符1"/>
    <w:link w:val="5"/>
    <w:qFormat/>
    <w:locked/>
    <w:uiPriority w:val="0"/>
    <w:rPr>
      <w:rFonts w:ascii="Times New Roman" w:hAnsi="Times New Roman" w:eastAsia="宋体" w:cs="Times New Roman"/>
      <w:b/>
      <w:bCs/>
      <w:kern w:val="44"/>
      <w:sz w:val="44"/>
      <w:szCs w:val="44"/>
    </w:rPr>
  </w:style>
  <w:style w:type="character" w:customStyle="1" w:styleId="164">
    <w:name w:val="标题 2 字符1"/>
    <w:link w:val="6"/>
    <w:semiHidden/>
    <w:qFormat/>
    <w:locked/>
    <w:uiPriority w:val="0"/>
    <w:rPr>
      <w:rFonts w:ascii="Arial" w:hAnsi="Arial" w:eastAsia="黑体" w:cs="Times New Roman"/>
      <w:b/>
      <w:kern w:val="0"/>
      <w:sz w:val="32"/>
      <w:szCs w:val="20"/>
    </w:rPr>
  </w:style>
  <w:style w:type="character" w:customStyle="1" w:styleId="165">
    <w:name w:val="标题 4 字符1"/>
    <w:link w:val="8"/>
    <w:semiHidden/>
    <w:qFormat/>
    <w:locked/>
    <w:uiPriority w:val="0"/>
    <w:rPr>
      <w:rFonts w:ascii="Arial" w:hAnsi="Arial" w:eastAsia="黑体" w:cs="Times New Roman"/>
      <w:b/>
      <w:bCs/>
      <w:sz w:val="28"/>
      <w:szCs w:val="28"/>
    </w:rPr>
  </w:style>
  <w:style w:type="character" w:customStyle="1" w:styleId="166">
    <w:name w:val="文档结构图 字符2"/>
    <w:link w:val="17"/>
    <w:semiHidden/>
    <w:qFormat/>
    <w:locked/>
    <w:uiPriority w:val="99"/>
    <w:rPr>
      <w:rFonts w:ascii="Times New Roman" w:hAnsi="Times New Roman" w:eastAsia="宋体" w:cs="Times New Roman"/>
      <w:kern w:val="0"/>
      <w:sz w:val="24"/>
      <w:szCs w:val="24"/>
      <w:shd w:val="clear" w:color="auto" w:fill="000080"/>
    </w:rPr>
  </w:style>
  <w:style w:type="character" w:customStyle="1" w:styleId="167">
    <w:name w:val="正文文本 字符2"/>
    <w:link w:val="20"/>
    <w:semiHidden/>
    <w:qFormat/>
    <w:locked/>
    <w:uiPriority w:val="0"/>
    <w:rPr>
      <w:rFonts w:ascii="Times New Roman" w:hAnsi="Times New Roman" w:eastAsia="宋体" w:cs="Times New Roman"/>
      <w:kern w:val="0"/>
      <w:szCs w:val="24"/>
    </w:rPr>
  </w:style>
  <w:style w:type="character" w:customStyle="1" w:styleId="168">
    <w:name w:val="正文文本缩进 字符2"/>
    <w:link w:val="3"/>
    <w:semiHidden/>
    <w:qFormat/>
    <w:locked/>
    <w:uiPriority w:val="0"/>
    <w:rPr>
      <w:rFonts w:ascii="Times New Roman" w:hAnsi="Times New Roman" w:eastAsia="宋体" w:cs="Times New Roman"/>
      <w:kern w:val="0"/>
      <w:sz w:val="24"/>
      <w:szCs w:val="24"/>
    </w:rPr>
  </w:style>
  <w:style w:type="character" w:customStyle="1" w:styleId="169">
    <w:name w:val="纯文本 字符6"/>
    <w:link w:val="24"/>
    <w:semiHidden/>
    <w:qFormat/>
    <w:locked/>
    <w:uiPriority w:val="0"/>
    <w:rPr>
      <w:rFonts w:ascii="宋体" w:hAnsi="Courier New" w:eastAsia="宋体" w:cs="Courier New"/>
      <w:sz w:val="24"/>
      <w:szCs w:val="21"/>
    </w:rPr>
  </w:style>
  <w:style w:type="character" w:customStyle="1" w:styleId="170">
    <w:name w:val="正文文本缩进 2 字符2"/>
    <w:link w:val="27"/>
    <w:semiHidden/>
    <w:qFormat/>
    <w:locked/>
    <w:uiPriority w:val="0"/>
    <w:rPr>
      <w:rFonts w:ascii="Times New Roman" w:hAnsi="Times New Roman" w:eastAsia="宋体" w:cs="Times New Roman"/>
      <w:kern w:val="0"/>
      <w:sz w:val="24"/>
      <w:szCs w:val="24"/>
    </w:rPr>
  </w:style>
  <w:style w:type="character" w:customStyle="1" w:styleId="171">
    <w:name w:val="批注框文本 字符4"/>
    <w:link w:val="28"/>
    <w:semiHidden/>
    <w:qFormat/>
    <w:locked/>
    <w:uiPriority w:val="0"/>
    <w:rPr>
      <w:rFonts w:ascii="Times New Roman" w:hAnsi="Times New Roman" w:eastAsia="宋体" w:cs="Times New Roman"/>
      <w:kern w:val="0"/>
      <w:sz w:val="18"/>
      <w:szCs w:val="18"/>
    </w:rPr>
  </w:style>
  <w:style w:type="character" w:customStyle="1" w:styleId="172">
    <w:name w:val="页脚 字符4"/>
    <w:semiHidden/>
    <w:qFormat/>
    <w:locked/>
    <w:uiPriority w:val="99"/>
    <w:rPr>
      <w:rFonts w:ascii="Times New Roman" w:hAnsi="Times New Roman" w:eastAsia="宋体" w:cs="Times New Roman"/>
      <w:kern w:val="0"/>
      <w:sz w:val="18"/>
      <w:szCs w:val="18"/>
    </w:rPr>
  </w:style>
  <w:style w:type="character" w:customStyle="1" w:styleId="173">
    <w:name w:val="页眉 字符4"/>
    <w:semiHidden/>
    <w:qFormat/>
    <w:locked/>
    <w:uiPriority w:val="99"/>
    <w:rPr>
      <w:rFonts w:ascii="Times New Roman" w:hAnsi="Times New Roman" w:eastAsia="宋体" w:cs="Times New Roman"/>
      <w:kern w:val="0"/>
      <w:sz w:val="18"/>
      <w:szCs w:val="18"/>
    </w:rPr>
  </w:style>
  <w:style w:type="character" w:customStyle="1" w:styleId="174">
    <w:name w:val="正文文本 2 字符2"/>
    <w:link w:val="38"/>
    <w:semiHidden/>
    <w:qFormat/>
    <w:locked/>
    <w:uiPriority w:val="0"/>
    <w:rPr>
      <w:rFonts w:ascii="Times New Roman" w:hAnsi="Times New Roman" w:eastAsia="宋体" w:cs="Times New Roman"/>
      <w:kern w:val="0"/>
      <w:szCs w:val="24"/>
    </w:rPr>
  </w:style>
  <w:style w:type="character" w:customStyle="1" w:styleId="175">
    <w:name w:val="apple-style-span"/>
    <w:qFormat/>
    <w:uiPriority w:val="0"/>
  </w:style>
  <w:style w:type="character" w:customStyle="1" w:styleId="176">
    <w:name w:val="Char Char3"/>
    <w:qFormat/>
    <w:locked/>
    <w:uiPriority w:val="0"/>
    <w:rPr>
      <w:rFonts w:hint="eastAsia" w:ascii="宋体" w:hAnsi="宋体" w:eastAsia="宋体"/>
      <w:sz w:val="18"/>
      <w:szCs w:val="18"/>
      <w:lang w:val="en-US" w:eastAsia="zh-CN" w:bidi="ar-SA"/>
    </w:rPr>
  </w:style>
  <w:style w:type="character" w:customStyle="1" w:styleId="177">
    <w:name w:val="Char Char4"/>
    <w:qFormat/>
    <w:locked/>
    <w:uiPriority w:val="0"/>
    <w:rPr>
      <w:rFonts w:hint="eastAsia" w:ascii="宋体" w:hAnsi="Courier New" w:eastAsia="宋体"/>
      <w:kern w:val="2"/>
      <w:sz w:val="21"/>
      <w:lang w:bidi="ar-SA"/>
    </w:rPr>
  </w:style>
  <w:style w:type="character" w:customStyle="1" w:styleId="178">
    <w:name w:val="样式 (中文) 仿宋_GB2312 三号"/>
    <w:qFormat/>
    <w:uiPriority w:val="0"/>
    <w:rPr>
      <w:rFonts w:hint="eastAsia" w:ascii="仿宋_GB2312" w:eastAsia="仿宋_GB2312"/>
      <w:sz w:val="32"/>
    </w:rPr>
  </w:style>
  <w:style w:type="character" w:customStyle="1" w:styleId="179">
    <w:name w:val="批注文字 字符1"/>
    <w:qFormat/>
    <w:uiPriority w:val="99"/>
    <w:rPr>
      <w:rFonts w:hint="default" w:ascii="Times New Roman" w:hAnsi="Times New Roman" w:eastAsia="宋体" w:cs="Times New Roman"/>
      <w:sz w:val="24"/>
      <w:szCs w:val="24"/>
    </w:rPr>
  </w:style>
  <w:style w:type="character" w:customStyle="1" w:styleId="180">
    <w:name w:val="纯文本 字符1"/>
    <w:qFormat/>
    <w:uiPriority w:val="99"/>
    <w:rPr>
      <w:rFonts w:hint="eastAsia" w:ascii="方正小标宋简体" w:hAnsi="方正小标宋简体" w:eastAsia="宋体" w:cs="方正小标宋简体"/>
      <w:szCs w:val="21"/>
    </w:rPr>
  </w:style>
  <w:style w:type="character" w:customStyle="1" w:styleId="181">
    <w:name w:val="页脚 字符3"/>
    <w:qFormat/>
    <w:uiPriority w:val="0"/>
    <w:rPr>
      <w:rFonts w:hint="default" w:ascii="Times New Roman" w:hAnsi="Times New Roman" w:cs="Times New Roman"/>
      <w:sz w:val="18"/>
      <w:szCs w:val="18"/>
    </w:rPr>
  </w:style>
  <w:style w:type="character" w:customStyle="1" w:styleId="182">
    <w:name w:val="批注主题 字符1"/>
    <w:qFormat/>
    <w:uiPriority w:val="99"/>
    <w:rPr>
      <w:rFonts w:hint="default" w:ascii="Times New Roman" w:hAnsi="Times New Roman" w:eastAsia="宋体" w:cs="Times New Roman"/>
      <w:b/>
      <w:bCs/>
      <w:sz w:val="24"/>
      <w:szCs w:val="24"/>
    </w:rPr>
  </w:style>
  <w:style w:type="character" w:customStyle="1" w:styleId="183">
    <w:name w:val="NormalCharacter"/>
    <w:qFormat/>
    <w:uiPriority w:val="0"/>
    <w:rPr>
      <w:rFonts w:hint="default" w:ascii="Times New Roman" w:hAnsi="Times New Roman" w:eastAsia="宋体" w:cs="Times New Roman"/>
    </w:rPr>
  </w:style>
  <w:style w:type="character" w:customStyle="1" w:styleId="184">
    <w:name w:val="页眉 字符1"/>
    <w:qFormat/>
    <w:uiPriority w:val="99"/>
    <w:rPr>
      <w:rFonts w:hint="default" w:ascii="Times New Roman" w:hAnsi="Times New Roman" w:eastAsia="宋体" w:cs="Courier New"/>
      <w:sz w:val="18"/>
      <w:szCs w:val="18"/>
    </w:rPr>
  </w:style>
  <w:style w:type="character" w:customStyle="1" w:styleId="185">
    <w:name w:val="正文文本缩进 字符1"/>
    <w:semiHidden/>
    <w:qFormat/>
    <w:uiPriority w:val="99"/>
    <w:rPr>
      <w:rFonts w:hint="default" w:ascii="Times New Roman" w:hAnsi="Times New Roman" w:eastAsia="宋体" w:cs="Times New Roman"/>
      <w:kern w:val="0"/>
      <w:sz w:val="24"/>
      <w:szCs w:val="24"/>
    </w:rPr>
  </w:style>
  <w:style w:type="character" w:customStyle="1" w:styleId="186">
    <w:name w:val="列表段落 字符"/>
    <w:qFormat/>
    <w:uiPriority w:val="34"/>
    <w:rPr>
      <w:rFonts w:hint="default" w:ascii="Times New Roman" w:hAnsi="Times New Roman" w:eastAsia="宋体" w:cs="Times New Roman"/>
      <w:kern w:val="2"/>
      <w:sz w:val="21"/>
    </w:rPr>
  </w:style>
  <w:style w:type="character" w:customStyle="1" w:styleId="187">
    <w:name w:val="批注框文本 字符3"/>
    <w:qFormat/>
    <w:uiPriority w:val="0"/>
    <w:rPr>
      <w:rFonts w:hint="default" w:ascii="Times New Roman" w:hAnsi="Times New Roman" w:cs="Times New Roman"/>
      <w:sz w:val="18"/>
      <w:szCs w:val="18"/>
    </w:rPr>
  </w:style>
  <w:style w:type="character" w:customStyle="1" w:styleId="188">
    <w:name w:val="批注文字 字符2"/>
    <w:qFormat/>
    <w:uiPriority w:val="0"/>
    <w:rPr>
      <w:sz w:val="24"/>
      <w:szCs w:val="24"/>
    </w:rPr>
  </w:style>
  <w:style w:type="character" w:customStyle="1" w:styleId="189">
    <w:name w:val="标题 字符2"/>
    <w:qFormat/>
    <w:uiPriority w:val="0"/>
    <w:rPr>
      <w:rFonts w:hint="default" w:ascii="Cambria" w:hAnsi="Cambria" w:eastAsia="Cambria" w:cs="Courier New"/>
      <w:b/>
      <w:bCs/>
      <w:sz w:val="32"/>
      <w:szCs w:val="32"/>
    </w:rPr>
  </w:style>
  <w:style w:type="character" w:customStyle="1" w:styleId="190">
    <w:name w:val="批注框文本 字符1"/>
    <w:qFormat/>
    <w:uiPriority w:val="99"/>
    <w:rPr>
      <w:rFonts w:hint="default" w:ascii="Times New Roman" w:hAnsi="Times New Roman" w:eastAsia="宋体" w:cs="Courier New"/>
      <w:sz w:val="18"/>
      <w:szCs w:val="18"/>
    </w:rPr>
  </w:style>
  <w:style w:type="character" w:customStyle="1" w:styleId="191">
    <w:name w:val="批注主题 字符2"/>
    <w:qFormat/>
    <w:uiPriority w:val="99"/>
    <w:rPr>
      <w:b/>
      <w:bCs/>
      <w:sz w:val="24"/>
      <w:szCs w:val="24"/>
    </w:rPr>
  </w:style>
  <w:style w:type="character" w:customStyle="1" w:styleId="192">
    <w:name w:val="页眉 字符2"/>
    <w:qFormat/>
    <w:uiPriority w:val="0"/>
    <w:rPr>
      <w:rFonts w:hint="default" w:ascii="Times New Roman" w:hAnsi="Times New Roman" w:eastAsia="宋体" w:cs="Times New Roman"/>
      <w:sz w:val="18"/>
      <w:szCs w:val="18"/>
    </w:rPr>
  </w:style>
  <w:style w:type="character" w:customStyle="1" w:styleId="193">
    <w:name w:val="标题 字符1"/>
    <w:qFormat/>
    <w:uiPriority w:val="99"/>
    <w:rPr>
      <w:rFonts w:hint="eastAsia" w:ascii="等线 Light" w:hAnsi="等线 Light" w:eastAsia="等线 Light" w:cs="Times New Roman"/>
      <w:b/>
      <w:bCs/>
      <w:sz w:val="32"/>
      <w:szCs w:val="32"/>
    </w:rPr>
  </w:style>
  <w:style w:type="character" w:customStyle="1" w:styleId="194">
    <w:name w:val="纯文本 字符2"/>
    <w:qFormat/>
    <w:uiPriority w:val="0"/>
    <w:rPr>
      <w:rFonts w:hint="eastAsia" w:ascii="方正小标宋简体" w:hAnsi="方正小标宋简体" w:eastAsia="方正小标宋简体" w:cs="方正小标宋简体"/>
      <w:kern w:val="2"/>
      <w:sz w:val="24"/>
      <w:szCs w:val="21"/>
      <w:lang w:val="en-US" w:eastAsia="zh-CN" w:bidi="ar-SA"/>
    </w:rPr>
  </w:style>
  <w:style w:type="character" w:customStyle="1" w:styleId="195">
    <w:name w:val="subaccno"/>
    <w:qFormat/>
    <w:uiPriority w:val="0"/>
    <w:rPr>
      <w:rFonts w:hint="default" w:ascii="Times New Roman" w:hAnsi="Times New Roman" w:eastAsia="宋体" w:cs="Times New Roman"/>
    </w:rPr>
  </w:style>
  <w:style w:type="character" w:customStyle="1" w:styleId="196">
    <w:name w:val="标题 字符3"/>
    <w:qFormat/>
    <w:uiPriority w:val="0"/>
    <w:rPr>
      <w:rFonts w:hint="eastAsia" w:ascii="等线 Light" w:hAnsi="等线 Light" w:eastAsia="宋体" w:cs="Times New Roman"/>
      <w:b/>
      <w:bCs/>
      <w:sz w:val="32"/>
      <w:szCs w:val="32"/>
    </w:rPr>
  </w:style>
  <w:style w:type="character" w:customStyle="1" w:styleId="197">
    <w:name w:val="页脚 字符2"/>
    <w:qFormat/>
    <w:uiPriority w:val="0"/>
    <w:rPr>
      <w:rFonts w:hint="default" w:ascii="Times New Roman" w:hAnsi="Times New Roman" w:eastAsia="宋体" w:cs="Times New Roman"/>
      <w:sz w:val="18"/>
      <w:szCs w:val="18"/>
    </w:rPr>
  </w:style>
  <w:style w:type="character" w:customStyle="1" w:styleId="198">
    <w:name w:val="页眉 字符3"/>
    <w:qFormat/>
    <w:uiPriority w:val="0"/>
    <w:rPr>
      <w:rFonts w:hint="default" w:ascii="Times New Roman" w:hAnsi="Times New Roman" w:cs="Times New Roman"/>
      <w:sz w:val="18"/>
      <w:szCs w:val="18"/>
    </w:rPr>
  </w:style>
  <w:style w:type="character" w:customStyle="1" w:styleId="199">
    <w:name w:val="正文文本首行缩进 字符1"/>
    <w:qFormat/>
    <w:uiPriority w:val="99"/>
    <w:rPr>
      <w:sz w:val="24"/>
      <w:szCs w:val="24"/>
    </w:rPr>
  </w:style>
  <w:style w:type="character" w:customStyle="1" w:styleId="200">
    <w:name w:val="页脚 字符1"/>
    <w:qFormat/>
    <w:uiPriority w:val="99"/>
    <w:rPr>
      <w:rFonts w:hint="default" w:ascii="Times New Roman" w:hAnsi="Times New Roman" w:eastAsia="宋体" w:cs="Courier New"/>
      <w:sz w:val="18"/>
      <w:szCs w:val="18"/>
    </w:rPr>
  </w:style>
  <w:style w:type="character" w:customStyle="1" w:styleId="201">
    <w:name w:val="纯文本 字符3"/>
    <w:qFormat/>
    <w:uiPriority w:val="0"/>
    <w:rPr>
      <w:rFonts w:hint="default" w:ascii="Cambria" w:hAnsi="方正小标宋简体" w:eastAsia="Cambria" w:cs="方正小标宋简体"/>
      <w:sz w:val="24"/>
      <w:szCs w:val="24"/>
    </w:rPr>
  </w:style>
  <w:style w:type="character" w:customStyle="1" w:styleId="202">
    <w:name w:val="文档结构图 字符1"/>
    <w:semiHidden/>
    <w:qFormat/>
    <w:uiPriority w:val="99"/>
    <w:rPr>
      <w:rFonts w:hint="eastAsia" w:ascii="Microsoft YaHei UI" w:hAnsi="Times New Roman" w:eastAsia="Microsoft YaHei UI" w:cs="Times New Roman"/>
      <w:kern w:val="0"/>
      <w:sz w:val="18"/>
      <w:szCs w:val="18"/>
    </w:rPr>
  </w:style>
  <w:style w:type="character" w:customStyle="1" w:styleId="203">
    <w:name w:val="正文文本缩进 2 字符1"/>
    <w:semiHidden/>
    <w:qFormat/>
    <w:uiPriority w:val="99"/>
    <w:rPr>
      <w:rFonts w:hint="default" w:ascii="Times New Roman" w:hAnsi="Times New Roman" w:eastAsia="宋体" w:cs="Times New Roman"/>
      <w:kern w:val="0"/>
      <w:sz w:val="24"/>
      <w:szCs w:val="24"/>
    </w:rPr>
  </w:style>
  <w:style w:type="character" w:customStyle="1" w:styleId="204">
    <w:name w:val="正文文本缩进 3 字符1"/>
    <w:qFormat/>
    <w:uiPriority w:val="99"/>
    <w:rPr>
      <w:sz w:val="16"/>
      <w:szCs w:val="16"/>
    </w:rPr>
  </w:style>
  <w:style w:type="character" w:customStyle="1" w:styleId="205">
    <w:name w:val="副标题 字符1"/>
    <w:qFormat/>
    <w:uiPriority w:val="0"/>
    <w:rPr>
      <w:rFonts w:hint="eastAsia" w:ascii="等线 Light" w:hAnsi="等线 Light" w:eastAsia="宋体" w:cs="Times New Roman"/>
      <w:b/>
      <w:bCs/>
      <w:kern w:val="28"/>
      <w:sz w:val="32"/>
      <w:szCs w:val="32"/>
    </w:rPr>
  </w:style>
  <w:style w:type="character" w:customStyle="1" w:styleId="206">
    <w:name w:val="批注框文本 字符2"/>
    <w:qFormat/>
    <w:uiPriority w:val="0"/>
    <w:rPr>
      <w:rFonts w:hint="eastAsia" w:ascii="方正小标宋简体" w:hAnsi="Times New Roman" w:eastAsia="宋体" w:cs="Times New Roman"/>
      <w:sz w:val="18"/>
      <w:szCs w:val="18"/>
    </w:rPr>
  </w:style>
  <w:style w:type="character" w:customStyle="1" w:styleId="207">
    <w:name w:val="正文文本 2 字符1"/>
    <w:semiHidden/>
    <w:qFormat/>
    <w:uiPriority w:val="99"/>
    <w:rPr>
      <w:rFonts w:hint="default" w:ascii="Times New Roman" w:hAnsi="Times New Roman" w:eastAsia="宋体" w:cs="Times New Roman"/>
      <w:kern w:val="0"/>
      <w:sz w:val="24"/>
      <w:szCs w:val="24"/>
    </w:rPr>
  </w:style>
  <w:style w:type="character" w:customStyle="1" w:styleId="208">
    <w:name w:val="info"/>
    <w:qFormat/>
    <w:uiPriority w:val="0"/>
    <w:rPr>
      <w:rFonts w:hint="default" w:ascii="Times New Roman" w:hAnsi="Times New Roman" w:eastAsia="宋体" w:cs="Times New Roman"/>
    </w:rPr>
  </w:style>
  <w:style w:type="character" w:customStyle="1" w:styleId="209">
    <w:name w:val="纯文本 字符4"/>
    <w:qFormat/>
    <w:uiPriority w:val="0"/>
    <w:rPr>
      <w:rFonts w:hint="eastAsia" w:ascii="宋体" w:hAnsi="Courier New" w:eastAsia="宋体" w:cs="Courier New"/>
      <w:sz w:val="24"/>
      <w:szCs w:val="21"/>
    </w:rPr>
  </w:style>
  <w:style w:type="character" w:customStyle="1" w:styleId="210">
    <w:name w:val="纯文本 字符5"/>
    <w:semiHidden/>
    <w:qFormat/>
    <w:uiPriority w:val="99"/>
    <w:rPr>
      <w:rFonts w:hint="eastAsia" w:ascii="等线" w:hAnsi="Courier New" w:eastAsia="等线" w:cs="Courier New"/>
      <w:kern w:val="0"/>
      <w:sz w:val="24"/>
      <w:szCs w:val="24"/>
    </w:rPr>
  </w:style>
  <w:style w:type="character" w:customStyle="1" w:styleId="211">
    <w:name w:val="副标题 字符2"/>
    <w:qFormat/>
    <w:uiPriority w:val="11"/>
    <w:rPr>
      <w:rFonts w:hint="eastAsia" w:ascii="等线 Light" w:hAnsi="等线 Light" w:eastAsia="等线 Light" w:cs="Times New Roman"/>
      <w:b/>
      <w:bCs/>
      <w:kern w:val="28"/>
      <w:sz w:val="32"/>
      <w:szCs w:val="32"/>
    </w:rPr>
  </w:style>
  <w:style w:type="character" w:customStyle="1" w:styleId="212">
    <w:name w:val="info4"/>
    <w:qFormat/>
    <w:uiPriority w:val="0"/>
    <w:rPr>
      <w:rFonts w:hint="default" w:ascii="Times New Roman" w:hAnsi="Times New Roman" w:eastAsia="宋体" w:cs="Times New Roman"/>
    </w:rPr>
  </w:style>
  <w:style w:type="character" w:customStyle="1" w:styleId="213">
    <w:name w:val="日期 字符1"/>
    <w:qFormat/>
    <w:uiPriority w:val="0"/>
    <w:rPr>
      <w:rFonts w:hint="default" w:ascii="Times New Roman" w:hAnsi="Times New Roman" w:eastAsia="宋体" w:cs="Times New Roman"/>
      <w:sz w:val="24"/>
      <w:szCs w:val="24"/>
    </w:rPr>
  </w:style>
  <w:style w:type="character" w:customStyle="1" w:styleId="214">
    <w:name w:val="日期 字符2"/>
    <w:qFormat/>
    <w:uiPriority w:val="99"/>
    <w:rPr>
      <w:sz w:val="24"/>
      <w:szCs w:val="24"/>
    </w:rPr>
  </w:style>
  <w:style w:type="character" w:customStyle="1" w:styleId="215">
    <w:name w:val="纯文本 Char1"/>
    <w:qFormat/>
    <w:uiPriority w:val="0"/>
    <w:rPr>
      <w:rFonts w:hint="eastAsia" w:ascii="宋体" w:hAnsi="Courier New" w:eastAsia="宋体" w:cs="Courier New"/>
      <w:kern w:val="2"/>
      <w:sz w:val="21"/>
      <w:szCs w:val="21"/>
    </w:rPr>
  </w:style>
  <w:style w:type="character" w:customStyle="1" w:styleId="216">
    <w:name w:val="页眉 Char1"/>
    <w:semiHidden/>
    <w:qFormat/>
    <w:uiPriority w:val="99"/>
    <w:rPr>
      <w:rFonts w:hint="default" w:ascii="Calibri" w:hAnsi="Calibri" w:eastAsia="宋体" w:cs="Times New Roman"/>
      <w:sz w:val="18"/>
      <w:szCs w:val="18"/>
    </w:rPr>
  </w:style>
  <w:style w:type="character" w:customStyle="1" w:styleId="217">
    <w:name w:val="Char Char2"/>
    <w:qFormat/>
    <w:uiPriority w:val="0"/>
    <w:rPr>
      <w:rFonts w:hint="eastAsia" w:ascii="宋体" w:hAnsi="Courier New" w:eastAsia="宋体" w:cs="Times New Roman"/>
      <w:kern w:val="2"/>
      <w:sz w:val="21"/>
      <w:szCs w:val="21"/>
    </w:rPr>
  </w:style>
  <w:style w:type="character" w:customStyle="1" w:styleId="218">
    <w:name w:val="正文文本 字符1"/>
    <w:qFormat/>
    <w:uiPriority w:val="0"/>
    <w:rPr>
      <w:szCs w:val="24"/>
    </w:rPr>
  </w:style>
  <w:style w:type="character" w:customStyle="1" w:styleId="219">
    <w:name w:val="font01"/>
    <w:basedOn w:val="47"/>
    <w:qFormat/>
    <w:uiPriority w:val="0"/>
    <w:rPr>
      <w:rFonts w:hint="eastAsia" w:ascii="宋体" w:hAnsi="宋体" w:eastAsia="宋体" w:cs="宋体"/>
      <w:color w:val="000000"/>
      <w:sz w:val="22"/>
      <w:szCs w:val="22"/>
      <w:u w:val="none"/>
    </w:rPr>
  </w:style>
  <w:style w:type="character" w:customStyle="1" w:styleId="220">
    <w:name w:val="font11"/>
    <w:basedOn w:val="47"/>
    <w:qFormat/>
    <w:uiPriority w:val="0"/>
    <w:rPr>
      <w:rFonts w:hint="eastAsia" w:ascii="宋体" w:hAnsi="宋体" w:eastAsia="宋体" w:cs="宋体"/>
      <w:color w:val="000000"/>
      <w:sz w:val="24"/>
      <w:szCs w:val="24"/>
      <w:u w:val="single"/>
    </w:rPr>
  </w:style>
  <w:style w:type="character" w:customStyle="1" w:styleId="221">
    <w:name w:val="font21"/>
    <w:basedOn w:val="47"/>
    <w:qFormat/>
    <w:uiPriority w:val="0"/>
    <w:rPr>
      <w:rFonts w:hint="eastAsia" w:ascii="宋体" w:hAnsi="宋体" w:eastAsia="宋体" w:cs="宋体"/>
      <w:color w:val="000000"/>
      <w:sz w:val="24"/>
      <w:szCs w:val="24"/>
      <w:u w:val="none"/>
    </w:rPr>
  </w:style>
  <w:style w:type="character" w:customStyle="1" w:styleId="222">
    <w:name w:val="font81"/>
    <w:basedOn w:val="47"/>
    <w:qFormat/>
    <w:uiPriority w:val="0"/>
    <w:rPr>
      <w:rFonts w:hint="default" w:ascii="Wingdings" w:hAnsi="Wingdings" w:cs="Wingdings"/>
      <w:color w:val="000000"/>
      <w:sz w:val="22"/>
      <w:szCs w:val="22"/>
      <w:u w:val="none"/>
    </w:rPr>
  </w:style>
  <w:style w:type="character" w:customStyle="1" w:styleId="223">
    <w:name w:val="font71"/>
    <w:basedOn w:val="47"/>
    <w:qFormat/>
    <w:uiPriority w:val="0"/>
    <w:rPr>
      <w:rFonts w:hint="eastAsia" w:ascii="宋体" w:hAnsi="宋体" w:eastAsia="宋体" w:cs="宋体"/>
      <w:color w:val="000000"/>
      <w:sz w:val="22"/>
      <w:szCs w:val="22"/>
      <w:u w:val="single"/>
    </w:rPr>
  </w:style>
  <w:style w:type="character" w:customStyle="1" w:styleId="224">
    <w:name w:val="font61"/>
    <w:basedOn w:val="47"/>
    <w:qFormat/>
    <w:uiPriority w:val="0"/>
    <w:rPr>
      <w:rFonts w:hint="default" w:ascii="Arial" w:hAnsi="Arial" w:cs="Arial"/>
      <w:color w:val="000000"/>
      <w:sz w:val="22"/>
      <w:szCs w:val="22"/>
      <w:u w:val="none"/>
    </w:rPr>
  </w:style>
  <w:style w:type="character" w:customStyle="1" w:styleId="225">
    <w:name w:val="font51"/>
    <w:basedOn w:val="47"/>
    <w:qFormat/>
    <w:uiPriority w:val="0"/>
    <w:rPr>
      <w:rFonts w:hint="eastAsia" w:ascii="宋体" w:hAnsi="宋体" w:eastAsia="宋体" w:cs="宋体"/>
      <w:color w:val="000000"/>
      <w:sz w:val="22"/>
      <w:szCs w:val="22"/>
      <w:u w:val="none"/>
    </w:rPr>
  </w:style>
  <w:style w:type="character" w:customStyle="1" w:styleId="226">
    <w:name w:val="font41"/>
    <w:basedOn w:val="47"/>
    <w:qFormat/>
    <w:uiPriority w:val="0"/>
    <w:rPr>
      <w:rFonts w:hint="eastAsia" w:ascii="宋体" w:hAnsi="宋体" w:eastAsia="宋体" w:cs="宋体"/>
      <w:color w:val="000000"/>
      <w:sz w:val="22"/>
      <w:szCs w:val="22"/>
      <w:u w:val="single"/>
    </w:rPr>
  </w:style>
  <w:style w:type="character" w:customStyle="1" w:styleId="227">
    <w:name w:val="font31"/>
    <w:basedOn w:val="47"/>
    <w:qFormat/>
    <w:uiPriority w:val="0"/>
    <w:rPr>
      <w:rFonts w:hint="eastAsia" w:ascii="宋体" w:hAnsi="宋体" w:eastAsia="宋体" w:cs="宋体"/>
      <w:color w:val="000000"/>
      <w:sz w:val="22"/>
      <w:szCs w:val="22"/>
      <w:u w:val="single"/>
    </w:rPr>
  </w:style>
  <w:style w:type="character" w:customStyle="1" w:styleId="228">
    <w:name w:val="font112"/>
    <w:basedOn w:val="47"/>
    <w:qFormat/>
    <w:uiPriority w:val="0"/>
    <w:rPr>
      <w:rFonts w:hint="default" w:ascii="Wingdings" w:hAnsi="Wingdings" w:cs="Wingdings"/>
      <w:color w:val="000000"/>
      <w:sz w:val="22"/>
      <w:szCs w:val="22"/>
      <w:u w:val="none"/>
    </w:rPr>
  </w:style>
  <w:style w:type="character" w:customStyle="1" w:styleId="229">
    <w:name w:val="font101"/>
    <w:basedOn w:val="47"/>
    <w:qFormat/>
    <w:uiPriority w:val="0"/>
    <w:rPr>
      <w:rFonts w:hint="eastAsia" w:ascii="宋体" w:hAnsi="宋体" w:eastAsia="宋体" w:cs="宋体"/>
      <w:color w:val="000000"/>
      <w:sz w:val="22"/>
      <w:szCs w:val="22"/>
      <w:u w:val="single"/>
    </w:rPr>
  </w:style>
  <w:style w:type="character" w:customStyle="1" w:styleId="230">
    <w:name w:val="font131"/>
    <w:qFormat/>
    <w:uiPriority w:val="0"/>
    <w:rPr>
      <w:rFonts w:hint="default" w:ascii="Wingdings 2" w:hAnsi="Wingdings 2" w:eastAsia="Wingdings 2" w:cs="Wingdings 2"/>
      <w:color w:val="000000"/>
      <w:sz w:val="22"/>
      <w:szCs w:val="22"/>
      <w:u w:val="none"/>
    </w:rPr>
  </w:style>
  <w:style w:type="character" w:customStyle="1" w:styleId="231">
    <w:name w:val="font121"/>
    <w:basedOn w:val="47"/>
    <w:qFormat/>
    <w:uiPriority w:val="0"/>
    <w:rPr>
      <w:rFonts w:hint="eastAsia" w:ascii="宋体" w:hAnsi="宋体" w:eastAsia="宋体" w:cs="宋体"/>
      <w:color w:val="000000"/>
      <w:sz w:val="22"/>
      <w:szCs w:val="22"/>
      <w:u w:val="single"/>
    </w:rPr>
  </w:style>
  <w:style w:type="character" w:customStyle="1" w:styleId="232">
    <w:name w:val="font151"/>
    <w:qFormat/>
    <w:uiPriority w:val="0"/>
    <w:rPr>
      <w:rFonts w:hint="default" w:ascii="Wingdings" w:hAnsi="Wingdings" w:cs="Wingdings"/>
      <w:color w:val="000000"/>
      <w:sz w:val="22"/>
      <w:szCs w:val="22"/>
      <w:u w:val="none"/>
    </w:rPr>
  </w:style>
  <w:style w:type="character" w:customStyle="1" w:styleId="233">
    <w:name w:val="font91"/>
    <w:basedOn w:val="47"/>
    <w:qFormat/>
    <w:uiPriority w:val="0"/>
    <w:rPr>
      <w:rFonts w:hint="eastAsia" w:ascii="宋体" w:hAnsi="宋体" w:eastAsia="宋体" w:cs="宋体"/>
      <w:color w:val="000000"/>
      <w:sz w:val="22"/>
      <w:szCs w:val="22"/>
      <w:u w:val="none"/>
    </w:rPr>
  </w:style>
  <w:style w:type="character" w:customStyle="1" w:styleId="234">
    <w:name w:val="批注文字 Char"/>
    <w:qFormat/>
    <w:uiPriority w:val="0"/>
    <w:rPr>
      <w:sz w:val="24"/>
      <w:szCs w:val="24"/>
    </w:rPr>
  </w:style>
  <w:style w:type="character" w:customStyle="1" w:styleId="235">
    <w:name w:val="批注主题 Char"/>
    <w:qFormat/>
    <w:uiPriority w:val="0"/>
    <w:rPr>
      <w:b/>
      <w:bCs/>
      <w:sz w:val="24"/>
      <w:szCs w:val="24"/>
    </w:rPr>
  </w:style>
  <w:style w:type="character" w:customStyle="1" w:styleId="236">
    <w:name w:val="fontstyle01"/>
    <w:qFormat/>
    <w:uiPriority w:val="0"/>
    <w:rPr>
      <w:rFonts w:hint="eastAsia" w:ascii="宋体" w:hAnsi="宋体" w:eastAsia="宋体"/>
      <w:color w:val="000000"/>
      <w:sz w:val="24"/>
      <w:szCs w:val="24"/>
    </w:rPr>
  </w:style>
  <w:style w:type="character" w:customStyle="1" w:styleId="237">
    <w:name w:val="文档结构图 Char"/>
    <w:qFormat/>
    <w:uiPriority w:val="99"/>
    <w:rPr>
      <w:sz w:val="24"/>
      <w:szCs w:val="24"/>
      <w:shd w:val="clear" w:color="auto" w:fill="000080"/>
    </w:rPr>
  </w:style>
  <w:style w:type="character" w:customStyle="1" w:styleId="238">
    <w:name w:val="正文文本 2 Char"/>
    <w:qFormat/>
    <w:uiPriority w:val="0"/>
    <w:rPr>
      <w:sz w:val="21"/>
      <w:szCs w:val="24"/>
    </w:rPr>
  </w:style>
  <w:style w:type="character" w:customStyle="1" w:styleId="239">
    <w:name w:val="页眉 Char"/>
    <w:qFormat/>
    <w:locked/>
    <w:uiPriority w:val="99"/>
    <w:rPr>
      <w:rFonts w:hint="default" w:ascii="Times New Roman" w:hAnsi="Times New Roman" w:cs="Times New Roman"/>
      <w:sz w:val="18"/>
      <w:szCs w:val="18"/>
    </w:rPr>
  </w:style>
  <w:style w:type="character" w:customStyle="1" w:styleId="240">
    <w:name w:val="纯文本 Char"/>
    <w:qFormat/>
    <w:locked/>
    <w:uiPriority w:val="0"/>
    <w:rPr>
      <w:rFonts w:hint="eastAsia" w:ascii="宋体" w:hAnsi="Courier New" w:eastAsia="宋体" w:cs="Courier New"/>
      <w:kern w:val="2"/>
      <w:sz w:val="24"/>
      <w:szCs w:val="21"/>
      <w:lang w:val="en-US" w:eastAsia="zh-CN" w:bidi="ar-SA"/>
    </w:rPr>
  </w:style>
  <w:style w:type="character" w:customStyle="1" w:styleId="241">
    <w:name w:val="正文文本缩进 2 Char"/>
    <w:qFormat/>
    <w:uiPriority w:val="0"/>
    <w:rPr>
      <w:sz w:val="24"/>
      <w:szCs w:val="24"/>
    </w:rPr>
  </w:style>
  <w:style w:type="character" w:customStyle="1" w:styleId="242">
    <w:name w:val="批注框文本 Char"/>
    <w:qFormat/>
    <w:locked/>
    <w:uiPriority w:val="0"/>
    <w:rPr>
      <w:rFonts w:hint="default" w:ascii="Times New Roman" w:hAnsi="Times New Roman" w:cs="Times New Roman"/>
      <w:sz w:val="18"/>
      <w:szCs w:val="18"/>
    </w:rPr>
  </w:style>
  <w:style w:type="character" w:customStyle="1" w:styleId="243">
    <w:name w:val="标题 2 Char"/>
    <w:qFormat/>
    <w:uiPriority w:val="0"/>
    <w:rPr>
      <w:rFonts w:hint="default" w:ascii="Arial" w:hAnsi="Arial" w:eastAsia="黑体" w:cs="Arial"/>
      <w:b/>
      <w:sz w:val="32"/>
    </w:rPr>
  </w:style>
  <w:style w:type="character" w:customStyle="1" w:styleId="244">
    <w:name w:val="正文文本缩进 Char"/>
    <w:qFormat/>
    <w:uiPriority w:val="0"/>
    <w:rPr>
      <w:sz w:val="24"/>
      <w:szCs w:val="24"/>
    </w:rPr>
  </w:style>
  <w:style w:type="character" w:customStyle="1" w:styleId="245">
    <w:name w:val="标题 4 Char"/>
    <w:qFormat/>
    <w:uiPriority w:val="0"/>
    <w:rPr>
      <w:rFonts w:hint="default" w:ascii="Arial" w:hAnsi="Arial" w:eastAsia="黑体" w:cs="Arial"/>
      <w:b/>
      <w:bCs/>
      <w:kern w:val="2"/>
      <w:sz w:val="28"/>
      <w:szCs w:val="28"/>
    </w:rPr>
  </w:style>
  <w:style w:type="character" w:customStyle="1" w:styleId="246">
    <w:name w:val="正文文本 Char"/>
    <w:qFormat/>
    <w:uiPriority w:val="0"/>
    <w:rPr>
      <w:sz w:val="21"/>
      <w:szCs w:val="24"/>
    </w:rPr>
  </w:style>
  <w:style w:type="character" w:customStyle="1" w:styleId="247">
    <w:name w:val="标题 1 Char"/>
    <w:qFormat/>
    <w:uiPriority w:val="0"/>
    <w:rPr>
      <w:b/>
      <w:bCs/>
      <w:kern w:val="44"/>
      <w:sz w:val="44"/>
      <w:szCs w:val="44"/>
    </w:rPr>
  </w:style>
  <w:style w:type="character" w:customStyle="1" w:styleId="248">
    <w:name w:val="页脚 Char"/>
    <w:qFormat/>
    <w:locked/>
    <w:uiPriority w:val="99"/>
    <w:rPr>
      <w:rFonts w:hint="default" w:ascii="Times New Roman" w:hAnsi="Times New Roman" w:cs="Times New Roman"/>
      <w:sz w:val="18"/>
      <w:szCs w:val="18"/>
    </w:rPr>
  </w:style>
  <w:style w:type="paragraph" w:customStyle="1" w:styleId="249">
    <w:name w:val="列表段落2"/>
    <w:basedOn w:val="1"/>
    <w:qFormat/>
    <w:uiPriority w:val="0"/>
    <w:pPr>
      <w:ind w:firstLine="420" w:firstLineChars="200"/>
    </w:pPr>
    <w:rPr>
      <w:rFonts w:asciiTheme="minorHAnsi" w:hAnsiTheme="minorHAnsi" w:eastAsiaTheme="minorEastAsia" w:cstheme="minorBidi"/>
      <w:kern w:val="2"/>
    </w:rPr>
  </w:style>
  <w:style w:type="paragraph" w:customStyle="1" w:styleId="250">
    <w:name w:val="正文文本缩进2"/>
    <w:basedOn w:val="1"/>
    <w:qFormat/>
    <w:uiPriority w:val="0"/>
    <w:pPr>
      <w:ind w:firstLine="630"/>
    </w:pPr>
    <w:rPr>
      <w:rFonts w:eastAsia="楷体_GB2312"/>
      <w:kern w:val="2"/>
      <w:sz w:val="30"/>
      <w:szCs w:val="20"/>
    </w:rPr>
  </w:style>
  <w:style w:type="character" w:customStyle="1" w:styleId="251">
    <w:name w:val="HTML 预设格式 字符"/>
    <w:basedOn w:val="47"/>
    <w:link w:val="39"/>
    <w:semiHidden/>
    <w:qFormat/>
    <w:uiPriority w:val="0"/>
    <w:rPr>
      <w:rFonts w:ascii="Arial" w:hAnsi="Arial" w:eastAsia="宋体" w:cs="Arial"/>
      <w:kern w:val="0"/>
      <w:sz w:val="24"/>
      <w:szCs w:val="24"/>
    </w:rPr>
  </w:style>
  <w:style w:type="character" w:customStyle="1" w:styleId="252">
    <w:name w:val="称呼 字符"/>
    <w:basedOn w:val="47"/>
    <w:link w:val="19"/>
    <w:semiHidden/>
    <w:qFormat/>
    <w:uiPriority w:val="99"/>
    <w:rPr>
      <w:rFonts w:ascii="仿宋_GB2312" w:hAnsi="Times New Roman" w:eastAsia="仿宋_GB2312" w:cs="Times New Roman"/>
      <w:sz w:val="24"/>
      <w:szCs w:val="24"/>
    </w:rPr>
  </w:style>
  <w:style w:type="paragraph" w:customStyle="1" w:styleId="253">
    <w:name w:val="表格内容"/>
    <w:basedOn w:val="20"/>
    <w:qFormat/>
    <w:uiPriority w:val="99"/>
    <w:pPr>
      <w:suppressLineNumbers/>
      <w:suppressAutoHyphens/>
      <w:spacing w:after="120"/>
      <w:jc w:val="left"/>
    </w:pPr>
    <w:rPr>
      <w:rFonts w:cs="Tahoma"/>
      <w:sz w:val="24"/>
    </w:rPr>
  </w:style>
  <w:style w:type="paragraph" w:customStyle="1" w:styleId="254">
    <w:name w:val="Char Char Char Char Char Char Char"/>
    <w:basedOn w:val="1"/>
    <w:qFormat/>
    <w:uiPriority w:val="99"/>
    <w:pPr>
      <w:snapToGrid w:val="0"/>
      <w:spacing w:line="360" w:lineRule="auto"/>
      <w:ind w:firstLine="200" w:firstLineChars="200"/>
    </w:pPr>
    <w:rPr>
      <w:rFonts w:eastAsia="仿宋_GB2312"/>
      <w:kern w:val="2"/>
    </w:rPr>
  </w:style>
  <w:style w:type="paragraph" w:customStyle="1" w:styleId="255">
    <w:name w:val="Char Char Char Char Char Char Char1"/>
    <w:basedOn w:val="1"/>
    <w:qFormat/>
    <w:uiPriority w:val="99"/>
    <w:pPr>
      <w:snapToGrid w:val="0"/>
      <w:spacing w:line="360" w:lineRule="auto"/>
      <w:ind w:firstLine="200" w:firstLineChars="200"/>
    </w:pPr>
    <w:rPr>
      <w:rFonts w:eastAsia="仿宋_GB2312"/>
      <w:kern w:val="2"/>
    </w:rPr>
  </w:style>
  <w:style w:type="paragraph" w:customStyle="1" w:styleId="256">
    <w:name w:val="Char Char Char"/>
    <w:basedOn w:val="1"/>
    <w:qFormat/>
    <w:uiPriority w:val="99"/>
    <w:rPr>
      <w:rFonts w:ascii="宋体" w:hAnsi="宋体"/>
      <w:b/>
      <w:kern w:val="2"/>
      <w:sz w:val="28"/>
      <w:szCs w:val="28"/>
    </w:rPr>
  </w:style>
  <w:style w:type="paragraph" w:customStyle="1" w:styleId="257">
    <w:name w:val="Char Char1 Char Char Char Char Char Char Char Char Char Char Char Char Char Char Char"/>
    <w:basedOn w:val="1"/>
    <w:qFormat/>
    <w:uiPriority w:val="99"/>
    <w:pPr>
      <w:widowControl/>
      <w:spacing w:after="160" w:line="240" w:lineRule="exact"/>
      <w:jc w:val="left"/>
    </w:pPr>
    <w:rPr>
      <w:rFonts w:ascii="Verdana" w:hAnsi="Verdana"/>
      <w:sz w:val="20"/>
      <w:szCs w:val="20"/>
      <w:lang w:eastAsia="en-US"/>
    </w:rPr>
  </w:style>
  <w:style w:type="paragraph" w:customStyle="1" w:styleId="258">
    <w:name w:val="Char"/>
    <w:basedOn w:val="1"/>
    <w:qFormat/>
    <w:uiPriority w:val="99"/>
    <w:pPr>
      <w:tabs>
        <w:tab w:val="left" w:pos="360"/>
      </w:tabs>
      <w:ind w:left="360" w:hanging="360" w:hangingChars="200"/>
    </w:pPr>
    <w:rPr>
      <w:kern w:val="2"/>
    </w:rPr>
  </w:style>
  <w:style w:type="character" w:customStyle="1" w:styleId="259">
    <w:name w:val="样式1 Char Char"/>
    <w:link w:val="92"/>
    <w:qFormat/>
    <w:locked/>
    <w:uiPriority w:val="0"/>
    <w:rPr>
      <w:rFonts w:ascii="方正小标宋简体" w:hAnsi="华文中宋" w:eastAsia="方正小标宋简体" w:cs="Times New Roman"/>
      <w:bCs/>
      <w:kern w:val="44"/>
      <w:sz w:val="44"/>
      <w:szCs w:val="44"/>
    </w:rPr>
  </w:style>
  <w:style w:type="character" w:customStyle="1" w:styleId="260">
    <w:name w:val="p0 Char"/>
    <w:link w:val="109"/>
    <w:qFormat/>
    <w:locked/>
    <w:uiPriority w:val="0"/>
    <w:rPr>
      <w:rFonts w:ascii="宋体" w:hAnsi="宋体" w:eastAsia="宋体" w:cs="宋体"/>
      <w:kern w:val="0"/>
      <w:szCs w:val="21"/>
    </w:rPr>
  </w:style>
  <w:style w:type="paragraph" w:customStyle="1" w:styleId="261">
    <w:name w:val="Char11"/>
    <w:basedOn w:val="1"/>
    <w:qFormat/>
    <w:uiPriority w:val="99"/>
    <w:pPr>
      <w:widowControl/>
      <w:spacing w:after="160" w:line="240" w:lineRule="exact"/>
      <w:jc w:val="left"/>
    </w:pPr>
    <w:rPr>
      <w:rFonts w:ascii="Verdana" w:hAnsi="Verdana"/>
      <w:sz w:val="20"/>
      <w:szCs w:val="20"/>
      <w:lang w:eastAsia="en-US"/>
    </w:rPr>
  </w:style>
  <w:style w:type="paragraph" w:customStyle="1" w:styleId="262">
    <w:name w:val="Char Char1 Char Char Char Char Char1 Char Char Char Char"/>
    <w:basedOn w:val="17"/>
    <w:qFormat/>
    <w:uiPriority w:val="99"/>
    <w:rPr>
      <w:rFonts w:ascii="Tahoma" w:hAnsi="Tahoma"/>
      <w:kern w:val="2"/>
      <w:sz w:val="21"/>
    </w:rPr>
  </w:style>
  <w:style w:type="paragraph" w:customStyle="1" w:styleId="263">
    <w:name w:val="样式 样式 样式 样式 标题 2 + 宋体 五号 非加粗 黑色 + 段前: 6 磅 段后: 0 磅 行距: 单倍行距 + 段前:..."/>
    <w:basedOn w:val="1"/>
    <w:qFormat/>
    <w:uiPriority w:val="99"/>
    <w:pPr>
      <w:keepNext/>
      <w:keepLines/>
      <w:tabs>
        <w:tab w:val="left" w:pos="840"/>
      </w:tabs>
      <w:adjustRightInd w:val="0"/>
      <w:spacing w:before="240"/>
      <w:ind w:left="840" w:hanging="420"/>
      <w:jc w:val="left"/>
      <w:outlineLvl w:val="1"/>
    </w:pPr>
    <w:rPr>
      <w:rFonts w:ascii="宋体" w:hAnsi="宋体"/>
      <w:b/>
      <w:bCs/>
      <w:color w:val="000000"/>
      <w:sz w:val="21"/>
      <w:szCs w:val="20"/>
    </w:rPr>
  </w:style>
  <w:style w:type="paragraph" w:customStyle="1" w:styleId="264">
    <w:name w:val="Char1"/>
    <w:basedOn w:val="1"/>
    <w:qFormat/>
    <w:uiPriority w:val="99"/>
    <w:pPr>
      <w:widowControl/>
      <w:spacing w:after="160" w:line="240" w:lineRule="exact"/>
      <w:jc w:val="left"/>
    </w:pPr>
    <w:rPr>
      <w:rFonts w:ascii="Verdana" w:hAnsi="Verdana"/>
      <w:sz w:val="20"/>
      <w:szCs w:val="20"/>
      <w:lang w:eastAsia="en-US"/>
    </w:rPr>
  </w:style>
  <w:style w:type="paragraph" w:customStyle="1" w:styleId="265">
    <w:name w:val="1"/>
    <w:basedOn w:val="1"/>
    <w:qFormat/>
    <w:uiPriority w:val="99"/>
    <w:pPr>
      <w:spacing w:afterLines="50" w:line="360" w:lineRule="auto"/>
    </w:pPr>
    <w:rPr>
      <w:rFonts w:ascii="宋体" w:hAnsi="宋体"/>
      <w:b/>
      <w:kern w:val="2"/>
      <w:sz w:val="30"/>
      <w:szCs w:val="21"/>
    </w:rPr>
  </w:style>
  <w:style w:type="paragraph" w:customStyle="1" w:styleId="266">
    <w:name w:val="样式 标题 2 + 宋体 五号 行距: 单倍行距"/>
    <w:basedOn w:val="6"/>
    <w:qFormat/>
    <w:uiPriority w:val="99"/>
    <w:pPr>
      <w:widowControl w:val="0"/>
      <w:tabs>
        <w:tab w:val="left" w:pos="2175"/>
      </w:tabs>
      <w:adjustRightInd w:val="0"/>
      <w:spacing w:line="240" w:lineRule="auto"/>
      <w:ind w:left="2175" w:hanging="1275"/>
    </w:pPr>
    <w:rPr>
      <w:rFonts w:ascii="宋体" w:hAnsi="宋体" w:eastAsia="方正小标宋简体"/>
      <w:bCs/>
      <w:sz w:val="21"/>
    </w:rPr>
  </w:style>
  <w:style w:type="paragraph" w:customStyle="1" w:styleId="267">
    <w:name w:val="标题 1 +"/>
    <w:basedOn w:val="5"/>
    <w:next w:val="1"/>
    <w:qFormat/>
    <w:uiPriority w:val="99"/>
    <w:pPr>
      <w:spacing w:before="0" w:after="0" w:line="600" w:lineRule="auto"/>
      <w:jc w:val="center"/>
    </w:pPr>
    <w:rPr>
      <w:rFonts w:eastAsia="黑体"/>
      <w:b w:val="0"/>
      <w:kern w:val="0"/>
      <w:sz w:val="32"/>
      <w:szCs w:val="32"/>
    </w:rPr>
  </w:style>
  <w:style w:type="paragraph" w:customStyle="1" w:styleId="268">
    <w:name w:val="样式 标题 2 + Times New Roman 四号 非加粗 段前: 5 磅 段后: 0 磅 行距: 固定值 20..."/>
    <w:basedOn w:val="6"/>
    <w:qFormat/>
    <w:uiPriority w:val="99"/>
    <w:pPr>
      <w:widowControl w:val="0"/>
      <w:spacing w:before="100" w:after="0" w:line="400" w:lineRule="exact"/>
      <w:jc w:val="both"/>
    </w:pPr>
    <w:rPr>
      <w:rFonts w:ascii="Times New Roman" w:hAnsi="Times New Roman"/>
      <w:b w:val="0"/>
      <w:kern w:val="2"/>
      <w:sz w:val="28"/>
    </w:rPr>
  </w:style>
  <w:style w:type="paragraph" w:customStyle="1" w:styleId="269">
    <w:name w:val="p15"/>
    <w:basedOn w:val="1"/>
    <w:qFormat/>
    <w:uiPriority w:val="99"/>
    <w:pPr>
      <w:widowControl/>
      <w:spacing w:line="220" w:lineRule="atLeast"/>
      <w:jc w:val="center"/>
    </w:pPr>
    <w:rPr>
      <w:rFonts w:ascii="仿宋_GB2312" w:hAnsi="宋体" w:eastAsia="仿宋_GB2312" w:cs="宋体"/>
      <w:sz w:val="21"/>
      <w:szCs w:val="21"/>
    </w:rPr>
  </w:style>
  <w:style w:type="paragraph" w:customStyle="1" w:styleId="270">
    <w:name w:val="Char1 Char Char Char 字元 Char Char 字元 Char 字元 Char1 Char Char Char"/>
    <w:basedOn w:val="1"/>
    <w:qFormat/>
    <w:uiPriority w:val="99"/>
    <w:rPr>
      <w:kern w:val="2"/>
      <w:sz w:val="21"/>
      <w:szCs w:val="20"/>
    </w:rPr>
  </w:style>
  <w:style w:type="paragraph" w:customStyle="1" w:styleId="271">
    <w:name w:val="p16"/>
    <w:basedOn w:val="1"/>
    <w:qFormat/>
    <w:uiPriority w:val="99"/>
    <w:pPr>
      <w:widowControl/>
      <w:jc w:val="left"/>
    </w:pPr>
    <w:rPr>
      <w:sz w:val="21"/>
      <w:szCs w:val="21"/>
    </w:rPr>
  </w:style>
  <w:style w:type="paragraph" w:customStyle="1" w:styleId="272">
    <w:name w:val="xl3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273">
    <w:name w:val="Blockquote"/>
    <w:basedOn w:val="1"/>
    <w:qFormat/>
    <w:uiPriority w:val="99"/>
    <w:pPr>
      <w:autoSpaceDE w:val="0"/>
      <w:autoSpaceDN w:val="0"/>
      <w:adjustRightInd w:val="0"/>
      <w:spacing w:before="100" w:after="100"/>
      <w:ind w:left="360" w:right="360"/>
      <w:jc w:val="left"/>
    </w:pPr>
    <w:rPr>
      <w:szCs w:val="20"/>
    </w:rPr>
  </w:style>
  <w:style w:type="paragraph" w:customStyle="1" w:styleId="274">
    <w:name w:val="Char Char"/>
    <w:basedOn w:val="1"/>
    <w:qFormat/>
    <w:uiPriority w:val="99"/>
    <w:pPr>
      <w:widowControl/>
      <w:spacing w:after="160" w:line="240" w:lineRule="exact"/>
      <w:jc w:val="left"/>
    </w:pPr>
    <w:rPr>
      <w:rFonts w:ascii="Verdana" w:hAnsi="Verdana" w:eastAsia="仿宋_GB2312"/>
      <w:szCs w:val="20"/>
      <w:lang w:eastAsia="en-US"/>
    </w:rPr>
  </w:style>
  <w:style w:type="paragraph" w:customStyle="1" w:styleId="275">
    <w:name w:val="xl25"/>
    <w:basedOn w:val="1"/>
    <w:qFormat/>
    <w:uiPriority w:val="99"/>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cs="宋体"/>
    </w:rPr>
  </w:style>
  <w:style w:type="paragraph" w:customStyle="1" w:styleId="276">
    <w:name w:val="Char Char Char1 Char"/>
    <w:basedOn w:val="1"/>
    <w:qFormat/>
    <w:uiPriority w:val="99"/>
    <w:pPr>
      <w:tabs>
        <w:tab w:val="left" w:pos="360"/>
      </w:tabs>
      <w:snapToGrid w:val="0"/>
      <w:spacing w:line="360" w:lineRule="auto"/>
    </w:pPr>
    <w:rPr>
      <w:rFonts w:eastAsia="仿宋_GB2312" w:cs="宋体"/>
      <w:kern w:val="2"/>
    </w:rPr>
  </w:style>
  <w:style w:type="paragraph" w:customStyle="1" w:styleId="277">
    <w:name w:val="TOC 标题1"/>
    <w:basedOn w:val="5"/>
    <w:next w:val="1"/>
    <w:semiHidden/>
    <w:qFormat/>
    <w:uiPriority w:val="39"/>
    <w:pPr>
      <w:widowControl/>
      <w:spacing w:before="480" w:after="0" w:line="276" w:lineRule="auto"/>
      <w:jc w:val="left"/>
      <w:outlineLvl w:val="9"/>
    </w:pPr>
    <w:rPr>
      <w:rFonts w:asciiTheme="majorHAnsi" w:hAnsiTheme="majorHAnsi" w:eastAsiaTheme="majorEastAsia" w:cstheme="majorBidi"/>
      <w:b w:val="0"/>
      <w:color w:val="2F5597" w:themeColor="accent1" w:themeShade="BF"/>
      <w:kern w:val="0"/>
      <w:sz w:val="28"/>
      <w:szCs w:val="28"/>
    </w:rPr>
  </w:style>
  <w:style w:type="paragraph" w:customStyle="1" w:styleId="278">
    <w:name w:val="_Style 122"/>
    <w:basedOn w:val="1"/>
    <w:next w:val="1"/>
    <w:qFormat/>
    <w:uiPriority w:val="39"/>
    <w:pPr>
      <w:ind w:left="420" w:leftChars="200"/>
    </w:pPr>
  </w:style>
  <w:style w:type="paragraph" w:customStyle="1" w:styleId="279">
    <w:name w:val="列出段落111"/>
    <w:basedOn w:val="1"/>
    <w:qFormat/>
    <w:uiPriority w:val="0"/>
    <w:pPr>
      <w:widowControl/>
      <w:ind w:left="720" w:firstLine="360"/>
      <w:jc w:val="left"/>
    </w:pPr>
    <w:rPr>
      <w:rFonts w:ascii="Calibri" w:hAnsi="Calibri" w:cs="Calibri" w:eastAsiaTheme="minorEastAsia"/>
      <w:kern w:val="2"/>
      <w:sz w:val="22"/>
      <w:szCs w:val="22"/>
      <w:lang w:eastAsia="en-US"/>
    </w:rPr>
  </w:style>
  <w:style w:type="paragraph" w:customStyle="1" w:styleId="280">
    <w:name w:val="修订1"/>
    <w:qFormat/>
    <w:uiPriority w:val="99"/>
    <w:rPr>
      <w:rFonts w:ascii="Times New Roman" w:hAnsi="Times New Roman" w:eastAsia="宋体" w:cs="Times New Roman"/>
      <w:kern w:val="2"/>
      <w:sz w:val="21"/>
      <w:szCs w:val="24"/>
      <w:lang w:val="en-US" w:eastAsia="zh-CN" w:bidi="ar-SA"/>
    </w:rPr>
  </w:style>
  <w:style w:type="paragraph" w:customStyle="1" w:styleId="28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282">
    <w:name w:val="修订3"/>
    <w:semiHidden/>
    <w:qFormat/>
    <w:uiPriority w:val="99"/>
    <w:rPr>
      <w:rFonts w:ascii="Times New Roman" w:hAnsi="Times New Roman" w:eastAsia="宋体" w:cs="Times New Roman"/>
      <w:kern w:val="2"/>
      <w:sz w:val="21"/>
      <w:szCs w:val="24"/>
      <w:lang w:val="en-US" w:eastAsia="zh-CN" w:bidi="ar-SA"/>
    </w:rPr>
  </w:style>
  <w:style w:type="paragraph" w:customStyle="1" w:styleId="283">
    <w:name w:val="TOC 标题2"/>
    <w:basedOn w:val="5"/>
    <w:next w:val="1"/>
    <w:qFormat/>
    <w:uiPriority w:val="39"/>
    <w:pPr>
      <w:widowControl/>
      <w:spacing w:before="240" w:after="0" w:line="256"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8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285">
    <w:name w:val="pf0"/>
    <w:basedOn w:val="1"/>
    <w:qFormat/>
    <w:uiPriority w:val="99"/>
    <w:pPr>
      <w:widowControl/>
      <w:spacing w:before="100" w:beforeAutospacing="1" w:after="100" w:afterAutospacing="1"/>
      <w:jc w:val="left"/>
    </w:pPr>
    <w:rPr>
      <w:rFonts w:ascii="宋体" w:hAnsi="宋体" w:cs="宋体"/>
    </w:rPr>
  </w:style>
  <w:style w:type="character" w:customStyle="1" w:styleId="286">
    <w:name w:val="fontstyle11"/>
    <w:basedOn w:val="47"/>
    <w:qFormat/>
    <w:uiPriority w:val="0"/>
    <w:rPr>
      <w:rFonts w:hint="eastAsia" w:ascii="TimesNewRomanPSMT" w:hAnsi="TimesNewRomanPSMT" w:eastAsia="TimesNewRomanPSMT"/>
      <w:color w:val="000000"/>
      <w:sz w:val="24"/>
      <w:szCs w:val="24"/>
    </w:rPr>
  </w:style>
  <w:style w:type="character" w:customStyle="1" w:styleId="287">
    <w:name w:val="fontstyle21"/>
    <w:basedOn w:val="47"/>
    <w:qFormat/>
    <w:uiPriority w:val="0"/>
    <w:rPr>
      <w:rFonts w:hint="eastAsia" w:ascii="宋体" w:hAnsi="宋体" w:eastAsia="宋体"/>
      <w:color w:val="993300"/>
      <w:sz w:val="24"/>
      <w:szCs w:val="24"/>
    </w:rPr>
  </w:style>
  <w:style w:type="character" w:customStyle="1" w:styleId="288">
    <w:name w:val="fontstyle31"/>
    <w:basedOn w:val="47"/>
    <w:qFormat/>
    <w:uiPriority w:val="0"/>
    <w:rPr>
      <w:rFonts w:hint="default" w:ascii="Arial" w:hAnsi="Arial" w:cs="Arial"/>
      <w:color w:val="993300"/>
      <w:sz w:val="24"/>
      <w:szCs w:val="24"/>
    </w:rPr>
  </w:style>
  <w:style w:type="character" w:customStyle="1" w:styleId="289">
    <w:name w:val="标题 Char1"/>
    <w:basedOn w:val="47"/>
    <w:qFormat/>
    <w:uiPriority w:val="10"/>
    <w:rPr>
      <w:rFonts w:hint="default" w:eastAsia="宋体" w:asciiTheme="majorHAnsi" w:hAnsiTheme="majorHAnsi" w:cstheme="majorBidi"/>
      <w:b/>
      <w:bCs/>
      <w:sz w:val="32"/>
      <w:szCs w:val="32"/>
    </w:rPr>
  </w:style>
  <w:style w:type="character" w:customStyle="1" w:styleId="290">
    <w:name w:val="副标题 Char"/>
    <w:basedOn w:val="47"/>
    <w:qFormat/>
    <w:uiPriority w:val="11"/>
    <w:rPr>
      <w:rFonts w:hint="default" w:eastAsia="宋体" w:asciiTheme="majorHAnsi" w:hAnsiTheme="majorHAnsi" w:cstheme="majorBidi"/>
      <w:b/>
      <w:bCs/>
      <w:kern w:val="28"/>
      <w:sz w:val="32"/>
      <w:szCs w:val="32"/>
    </w:rPr>
  </w:style>
  <w:style w:type="character" w:customStyle="1" w:styleId="291">
    <w:name w:val="未处理的提及1"/>
    <w:basedOn w:val="47"/>
    <w:semiHidden/>
    <w:qFormat/>
    <w:uiPriority w:val="99"/>
    <w:rPr>
      <w:color w:val="605E5C"/>
      <w:shd w:val="clear" w:color="auto" w:fill="E1DFDD"/>
    </w:rPr>
  </w:style>
  <w:style w:type="character" w:customStyle="1" w:styleId="292">
    <w:name w:val="未处理的提及2"/>
    <w:basedOn w:val="47"/>
    <w:semiHidden/>
    <w:qFormat/>
    <w:uiPriority w:val="99"/>
    <w:rPr>
      <w:color w:val="605E5C"/>
      <w:shd w:val="clear" w:color="auto" w:fill="E1DFDD"/>
    </w:rPr>
  </w:style>
  <w:style w:type="character" w:customStyle="1" w:styleId="293">
    <w:name w:val="未处理的提及3"/>
    <w:basedOn w:val="47"/>
    <w:semiHidden/>
    <w:qFormat/>
    <w:uiPriority w:val="99"/>
    <w:rPr>
      <w:color w:val="605E5C"/>
      <w:shd w:val="clear" w:color="auto" w:fill="E1DFDD"/>
    </w:rPr>
  </w:style>
  <w:style w:type="character" w:customStyle="1" w:styleId="294">
    <w:name w:val="cf01"/>
    <w:basedOn w:val="47"/>
    <w:qFormat/>
    <w:uiPriority w:val="0"/>
    <w:rPr>
      <w:rFonts w:hint="eastAsia" w:ascii="Microsoft YaHei UI" w:hAnsi="Microsoft YaHei UI" w:eastAsia="Microsoft YaHei UI"/>
      <w:sz w:val="24"/>
      <w:szCs w:val="24"/>
    </w:rPr>
  </w:style>
  <w:style w:type="character" w:customStyle="1" w:styleId="295">
    <w:name w:val="未处理的提及4"/>
    <w:basedOn w:val="47"/>
    <w:semiHidden/>
    <w:qFormat/>
    <w:uiPriority w:val="99"/>
    <w:rPr>
      <w:color w:val="605E5C"/>
      <w:shd w:val="clear" w:color="auto" w:fill="E1DFDD"/>
    </w:rPr>
  </w:style>
  <w:style w:type="character" w:customStyle="1" w:styleId="296">
    <w:name w:val="未处理的提及5"/>
    <w:basedOn w:val="47"/>
    <w:semiHidden/>
    <w:qFormat/>
    <w:uiPriority w:val="99"/>
    <w:rPr>
      <w:color w:val="605E5C"/>
      <w:shd w:val="clear" w:color="auto" w:fill="E1DFDD"/>
    </w:rPr>
  </w:style>
  <w:style w:type="paragraph" w:customStyle="1" w:styleId="297">
    <w:name w:val="[Normal]"/>
    <w:qFormat/>
    <w:uiPriority w:val="99"/>
    <w:rPr>
      <w:rFonts w:ascii="宋体" w:hAnsi="宋体" w:eastAsia="微软雅黑" w:cs="宋体"/>
      <w:sz w:val="24"/>
      <w:szCs w:val="24"/>
      <w:lang w:val="zh-CN" w:eastAsia="zh-CN" w:bidi="ar-SA"/>
    </w:rPr>
  </w:style>
  <w:style w:type="paragraph" w:customStyle="1" w:styleId="298">
    <w:name w:val="List Paragraph1"/>
    <w:basedOn w:val="1"/>
    <w:qFormat/>
    <w:uiPriority w:val="0"/>
    <w:pPr>
      <w:ind w:firstLine="420" w:firstLineChars="200"/>
    </w:pPr>
    <w:rPr>
      <w:rFonts w:ascii="Calibri" w:hAnsi="Calibri"/>
      <w:szCs w:val="22"/>
    </w:rPr>
  </w:style>
  <w:style w:type="paragraph" w:customStyle="1" w:styleId="299">
    <w:name w:val="_Style 1"/>
    <w:basedOn w:val="1"/>
    <w:qFormat/>
    <w:uiPriority w:val="34"/>
    <w:pPr>
      <w:ind w:firstLine="420" w:firstLineChars="200"/>
    </w:pPr>
  </w:style>
  <w:style w:type="paragraph" w:customStyle="1" w:styleId="300">
    <w:name w:val="Table Text"/>
    <w:basedOn w:val="1"/>
    <w:semiHidden/>
    <w:qFormat/>
    <w:uiPriority w:val="0"/>
    <w:rPr>
      <w:rFonts w:ascii="宋体" w:hAnsi="宋体" w:eastAsia="宋体" w:cs="宋体"/>
      <w:sz w:val="24"/>
      <w:szCs w:val="24"/>
      <w:lang w:val="en-US" w:eastAsia="en-US" w:bidi="ar-SA"/>
    </w:rPr>
  </w:style>
  <w:style w:type="table" w:customStyle="1" w:styleId="301">
    <w:name w:val="Table Normal"/>
    <w:semiHidden/>
    <w:unhideWhenUsed/>
    <w:qFormat/>
    <w:uiPriority w:val="0"/>
    <w:tblPr>
      <w:tblCellMar>
        <w:top w:w="0" w:type="dxa"/>
        <w:left w:w="0" w:type="dxa"/>
        <w:bottom w:w="0" w:type="dxa"/>
        <w:right w:w="0" w:type="dxa"/>
      </w:tblCellMar>
    </w:tblPr>
  </w:style>
  <w:style w:type="paragraph" w:customStyle="1" w:styleId="302">
    <w:name w:val="Table Paragraph"/>
    <w:basedOn w:val="1"/>
    <w:qFormat/>
    <w:uiPriority w:val="1"/>
    <w:rPr>
      <w:rFonts w:ascii="宋体" w:hAnsi="宋体" w:eastAsia="宋体" w:cs="宋体"/>
      <w:lang w:val="zh-CN" w:eastAsia="zh-CN" w:bidi="zh-CN"/>
    </w:rPr>
  </w:style>
  <w:style w:type="character" w:customStyle="1" w:styleId="303">
    <w:name w:val="font111"/>
    <w:basedOn w:val="47"/>
    <w:qFormat/>
    <w:uiPriority w:val="0"/>
    <w:rPr>
      <w:rFonts w:hint="eastAsia" w:ascii="宋体" w:hAnsi="宋体" w:eastAsia="宋体" w:cs="宋体"/>
      <w:b/>
      <w:bCs/>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39724</Words>
  <Characters>41680</Characters>
  <Lines>390</Lines>
  <Paragraphs>110</Paragraphs>
  <TotalTime>2</TotalTime>
  <ScaleCrop>false</ScaleCrop>
  <LinksUpToDate>false</LinksUpToDate>
  <CharactersWithSpaces>45092</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2022-11-14T06:47:00Z</dcterms:created>
  <dc:creator>8581497@qq.com</dc:creator>
  <cp:lastModifiedBy>无知的我</cp:lastModifiedBy>
  <dcterms:modified xsi:type="dcterms:W3CDTF">2025-02-07T17:55:38Z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271A986BF71C4BC6973DE77B4C1D5047</vt:lpwstr>
  </property>
</Properties>
</file>